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B7" w:rsidRDefault="000847B7" w:rsidP="000847B7">
      <w:pPr>
        <w:pStyle w:val="a3"/>
        <w:spacing w:line="580" w:lineRule="exact"/>
        <w:rPr>
          <w:rFonts w:ascii="方正黑体_GBK" w:eastAsia="方正黑体_GBK" w:cs="方正小标宋简体" w:hint="eastAsia"/>
        </w:rPr>
      </w:pPr>
      <w:r w:rsidRPr="000847B7">
        <w:rPr>
          <w:rFonts w:ascii="方正黑体_GBK" w:eastAsia="方正黑体_GBK" w:cs="方正小标宋简体" w:hint="eastAsia"/>
        </w:rPr>
        <w:t>附件2：</w:t>
      </w:r>
    </w:p>
    <w:p w:rsidR="000847B7" w:rsidRPr="000847B7" w:rsidRDefault="000847B7" w:rsidP="000847B7">
      <w:pPr>
        <w:pStyle w:val="a3"/>
        <w:spacing w:line="580" w:lineRule="exact"/>
        <w:rPr>
          <w:rFonts w:ascii="方正黑体_GBK" w:eastAsia="方正黑体_GBK" w:cs="方正小标宋简体" w:hint="eastAsia"/>
        </w:rPr>
      </w:pPr>
    </w:p>
    <w:p w:rsidR="00A75CAA" w:rsidRDefault="00A75CAA" w:rsidP="00A75CAA">
      <w:pPr>
        <w:pStyle w:val="a3"/>
        <w:spacing w:line="58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关于</w:t>
      </w:r>
      <w:r w:rsidRPr="00763550">
        <w:rPr>
          <w:rFonts w:ascii="方正小标宋简体" w:eastAsia="方正小标宋简体" w:cs="方正小标宋简体" w:hint="eastAsia"/>
          <w:sz w:val="44"/>
          <w:szCs w:val="44"/>
        </w:rPr>
        <w:t>《巴中市城市规划管理技术规定（2020版）局部修改》</w:t>
      </w:r>
      <w:r>
        <w:rPr>
          <w:rFonts w:ascii="方正小标宋简体" w:eastAsia="方正小标宋简体" w:cs="方正小标宋简体" w:hint="eastAsia"/>
          <w:sz w:val="44"/>
          <w:szCs w:val="44"/>
        </w:rPr>
        <w:t>的起草说明</w:t>
      </w:r>
    </w:p>
    <w:p w:rsidR="00A75CAA" w:rsidRDefault="00A75CAA" w:rsidP="00A75CAA">
      <w:pPr>
        <w:widowControl/>
        <w:spacing w:line="576" w:lineRule="exact"/>
        <w:ind w:firstLineChars="200" w:firstLine="640"/>
        <w:jc w:val="left"/>
      </w:pPr>
    </w:p>
    <w:p w:rsidR="00A75CAA" w:rsidRPr="007203F0" w:rsidRDefault="00A75CAA" w:rsidP="00A75CAA">
      <w:pPr>
        <w:widowControl/>
        <w:spacing w:line="576" w:lineRule="exact"/>
        <w:ind w:firstLineChars="200" w:firstLine="640"/>
        <w:jc w:val="left"/>
      </w:pPr>
      <w:r w:rsidRPr="007203F0">
        <w:rPr>
          <w:rFonts w:hint="eastAsia"/>
        </w:rPr>
        <w:t>现将《巴中市城市规划管理技术规定（2020版）局部修改》（以下简称《技术规定》作如下汇报说明。</w:t>
      </w:r>
    </w:p>
    <w:p w:rsidR="00A75CAA" w:rsidRPr="00763550" w:rsidRDefault="00A75CAA" w:rsidP="00A75CAA">
      <w:pPr>
        <w:pStyle w:val="a3"/>
        <w:spacing w:after="0" w:line="576" w:lineRule="exact"/>
        <w:jc w:val="left"/>
        <w:rPr>
          <w:rFonts w:ascii="方正黑体_GBK" w:eastAsia="方正黑体_GBK"/>
        </w:rPr>
      </w:pPr>
      <w:r w:rsidRPr="00763550">
        <w:rPr>
          <w:rFonts w:ascii="方正黑体_GBK" w:eastAsia="方正黑体_GBK" w:hint="eastAsia"/>
        </w:rPr>
        <w:t xml:space="preserve">    一、起草背景</w:t>
      </w:r>
    </w:p>
    <w:p w:rsidR="00A75CAA" w:rsidRDefault="00A75CAA" w:rsidP="00A75CAA">
      <w:pPr>
        <w:pStyle w:val="a3"/>
        <w:spacing w:after="0" w:line="576" w:lineRule="exact"/>
        <w:ind w:firstLine="640"/>
        <w:rPr>
          <w:rFonts w:eastAsia="方正仿宋_GBK" w:cs="仿宋_GB2312"/>
        </w:rPr>
      </w:pPr>
      <w:r w:rsidRPr="001C5201">
        <w:rPr>
          <w:rFonts w:eastAsia="方正仿宋_GBK" w:hint="eastAsia"/>
        </w:rPr>
        <w:t>为进一步</w:t>
      </w:r>
      <w:r>
        <w:rPr>
          <w:rFonts w:eastAsia="方正仿宋_GBK" w:hint="eastAsia"/>
        </w:rPr>
        <w:t>强化规划引领，</w:t>
      </w:r>
      <w:r w:rsidRPr="001C5201">
        <w:rPr>
          <w:rFonts w:eastAsia="方正仿宋_GBK" w:hint="eastAsia"/>
        </w:rPr>
        <w:t>提升城市品质，建设</w:t>
      </w:r>
      <w:r>
        <w:rPr>
          <w:rFonts w:eastAsia="方正仿宋_GBK" w:hint="eastAsia"/>
        </w:rPr>
        <w:t>宜</w:t>
      </w:r>
      <w:proofErr w:type="gramStart"/>
      <w:r>
        <w:rPr>
          <w:rFonts w:eastAsia="方正仿宋_GBK" w:hint="eastAsia"/>
        </w:rPr>
        <w:t>居宜业</w:t>
      </w:r>
      <w:proofErr w:type="gramEnd"/>
      <w:r>
        <w:rPr>
          <w:rFonts w:eastAsia="方正仿宋_GBK" w:hint="eastAsia"/>
        </w:rPr>
        <w:t>秀美巴城</w:t>
      </w:r>
      <w:r w:rsidRPr="001C5201">
        <w:rPr>
          <w:rFonts w:eastAsia="方正仿宋_GBK" w:hint="eastAsia"/>
        </w:rPr>
        <w:t>，</w:t>
      </w:r>
      <w:r>
        <w:rPr>
          <w:rFonts w:eastAsia="方正仿宋_GBK" w:hint="eastAsia"/>
        </w:rPr>
        <w:t>根据国家法律法规、行政规章和行业有关规范标准，</w:t>
      </w:r>
      <w:r w:rsidRPr="001C5201">
        <w:rPr>
          <w:rFonts w:eastAsia="方正仿宋_GBK" w:hint="eastAsia"/>
        </w:rPr>
        <w:t>按照</w:t>
      </w:r>
      <w:r>
        <w:rPr>
          <w:rFonts w:eastAsia="方正仿宋_GBK" w:hint="eastAsia"/>
        </w:rPr>
        <w:t>巴中</w:t>
      </w:r>
      <w:proofErr w:type="gramStart"/>
      <w:r>
        <w:rPr>
          <w:rFonts w:eastAsia="方正仿宋_GBK" w:hint="eastAsia"/>
        </w:rPr>
        <w:t>市</w:t>
      </w:r>
      <w:r w:rsidRPr="001C5201">
        <w:rPr>
          <w:rFonts w:eastAsia="方正仿宋_GBK" w:hint="eastAsia"/>
        </w:rPr>
        <w:t>促进</w:t>
      </w:r>
      <w:proofErr w:type="gramEnd"/>
      <w:r w:rsidRPr="001C5201">
        <w:rPr>
          <w:rFonts w:eastAsia="方正仿宋_GBK" w:hint="eastAsia"/>
        </w:rPr>
        <w:t>房地产市场平稳健康发展和建筑业高质量发展座谈会议要求，市自然资源和规划局组织专班</w:t>
      </w:r>
      <w:r>
        <w:rPr>
          <w:rFonts w:eastAsia="方正仿宋_GBK" w:hint="eastAsia"/>
        </w:rPr>
        <w:t>修改完善</w:t>
      </w:r>
      <w:r w:rsidRPr="001C5201">
        <w:rPr>
          <w:rFonts w:eastAsia="方正仿宋_GBK" w:hint="eastAsia"/>
        </w:rPr>
        <w:t>《巴中市城市规划管理技术规定（2020版）》</w:t>
      </w:r>
      <w:r>
        <w:rPr>
          <w:rFonts w:eastAsia="方正仿宋_GBK" w:hint="eastAsia"/>
        </w:rPr>
        <w:t>，形成了</w:t>
      </w:r>
      <w:r w:rsidRPr="0007761B">
        <w:rPr>
          <w:rFonts w:eastAsia="方正仿宋_GBK" w:hint="eastAsia"/>
        </w:rPr>
        <w:t>《巴中市城市规划管理技术规定（2020版）局部修改》</w:t>
      </w:r>
      <w:r w:rsidRPr="001C5201">
        <w:rPr>
          <w:rFonts w:eastAsia="方正仿宋_GBK" w:hint="eastAsia"/>
        </w:rPr>
        <w:t>。</w:t>
      </w:r>
    </w:p>
    <w:p w:rsidR="00A75CAA" w:rsidRPr="0011494C" w:rsidRDefault="00A75CAA" w:rsidP="000847B7">
      <w:pPr>
        <w:pStyle w:val="a3"/>
        <w:spacing w:after="0" w:line="576" w:lineRule="exact"/>
        <w:jc w:val="left"/>
        <w:rPr>
          <w:rFonts w:ascii="方正黑体_GBK" w:eastAsia="方正黑体_GBK" w:cs="仿宋_GB2312"/>
        </w:rPr>
      </w:pPr>
      <w:r w:rsidRPr="007203F0">
        <w:rPr>
          <w:rFonts w:ascii="方正黑体_GBK" w:eastAsia="方正黑体_GBK" w:hint="eastAsia"/>
        </w:rPr>
        <w:t xml:space="preserve">    二、</w:t>
      </w:r>
      <w:r w:rsidRPr="0011494C">
        <w:rPr>
          <w:rFonts w:ascii="方正黑体_GBK" w:eastAsia="方正黑体_GBK" w:cs="仿宋_GB2312" w:hint="eastAsia"/>
        </w:rPr>
        <w:t>主要内容</w:t>
      </w:r>
    </w:p>
    <w:p w:rsidR="00A75CAA" w:rsidRDefault="00A75CAA" w:rsidP="000847B7">
      <w:pPr>
        <w:pStyle w:val="a3"/>
        <w:spacing w:line="576" w:lineRule="exact"/>
        <w:ind w:firstLine="636"/>
        <w:rPr>
          <w:rFonts w:eastAsia="方正仿宋_GBK" w:cs="仿宋_GB2312" w:hint="eastAsia"/>
        </w:rPr>
      </w:pPr>
      <w:r w:rsidRPr="0011494C">
        <w:rPr>
          <w:rFonts w:eastAsia="方正仿宋_GBK" w:cs="仿宋_GB2312" w:hint="eastAsia"/>
        </w:rPr>
        <w:t>按照“重法治、强引导、提品质、增温度、促发展”的总体思路，对</w:t>
      </w:r>
      <w:r w:rsidRPr="007203F0">
        <w:rPr>
          <w:rFonts w:eastAsia="方正仿宋_GBK" w:hint="eastAsia"/>
        </w:rPr>
        <w:t>《巴中市城市规划管理技术规定（2020版）》</w:t>
      </w:r>
      <w:r w:rsidRPr="0011494C">
        <w:rPr>
          <w:rFonts w:eastAsia="方正仿宋_GBK" w:cs="仿宋_GB2312" w:hint="eastAsia"/>
        </w:rPr>
        <w:t>的重要指标、重点条款进行补充、优化和完善，共修改</w:t>
      </w:r>
      <w:r>
        <w:rPr>
          <w:rFonts w:eastAsia="方正仿宋_GBK" w:cs="仿宋_GB2312" w:hint="eastAsia"/>
        </w:rPr>
        <w:t>正文条款</w:t>
      </w:r>
      <w:r w:rsidRPr="0011494C">
        <w:rPr>
          <w:rFonts w:eastAsia="方正仿宋_GBK" w:cs="仿宋_GB2312" w:hint="eastAsia"/>
        </w:rPr>
        <w:t>28处，其中</w:t>
      </w:r>
      <w:r>
        <w:rPr>
          <w:rFonts w:eastAsia="方正仿宋_GBK" w:cs="仿宋_GB2312" w:hint="eastAsia"/>
        </w:rPr>
        <w:t>：</w:t>
      </w:r>
      <w:r w:rsidRPr="0011494C">
        <w:rPr>
          <w:rFonts w:eastAsia="方正仿宋_GBK" w:cs="仿宋_GB2312" w:hint="eastAsia"/>
        </w:rPr>
        <w:t>文字表述、技术指标24处，新增4条，修改后的</w:t>
      </w:r>
      <w:r>
        <w:rPr>
          <w:rFonts w:eastAsia="方正仿宋_GBK" w:cs="仿宋_GB2312" w:hint="eastAsia"/>
        </w:rPr>
        <w:t>《</w:t>
      </w:r>
      <w:r w:rsidRPr="0011494C">
        <w:rPr>
          <w:rFonts w:eastAsia="方正仿宋_GBK" w:cs="仿宋_GB2312" w:hint="eastAsia"/>
        </w:rPr>
        <w:t>技术规定</w:t>
      </w:r>
      <w:r>
        <w:rPr>
          <w:rFonts w:eastAsia="方正仿宋_GBK" w:cs="仿宋_GB2312" w:hint="eastAsia"/>
        </w:rPr>
        <w:t>》</w:t>
      </w:r>
      <w:r w:rsidRPr="0011494C">
        <w:rPr>
          <w:rFonts w:eastAsia="方正仿宋_GBK" w:cs="仿宋_GB2312" w:hint="eastAsia"/>
        </w:rPr>
        <w:t>共117条；修改附录中容积率计算规则3处，新增3条</w:t>
      </w:r>
      <w:r>
        <w:rPr>
          <w:rFonts w:eastAsia="方正仿宋_GBK" w:cs="仿宋_GB2312" w:hint="eastAsia"/>
        </w:rPr>
        <w:t>。</w:t>
      </w:r>
      <w:r w:rsidR="000847B7">
        <w:rPr>
          <w:rFonts w:eastAsia="方正仿宋_GBK" w:cs="仿宋_GB2312" w:hint="eastAsia"/>
        </w:rPr>
        <w:t>（详见</w:t>
      </w:r>
      <w:r w:rsidR="000847B7" w:rsidRPr="000847B7">
        <w:rPr>
          <w:rFonts w:eastAsia="方正仿宋_GBK" w:cs="仿宋_GB2312" w:hint="eastAsia"/>
        </w:rPr>
        <w:t>《巴中市城市规划管理技术规定（2020版）局部修改》对比一览表</w:t>
      </w:r>
      <w:r w:rsidR="000847B7">
        <w:rPr>
          <w:rFonts w:eastAsia="方正仿宋_GBK" w:cs="仿宋_GB2312" w:hint="eastAsia"/>
        </w:rPr>
        <w:t>）</w:t>
      </w:r>
    </w:p>
    <w:p w:rsidR="000847B7" w:rsidRDefault="000847B7" w:rsidP="000847B7">
      <w:pPr>
        <w:pStyle w:val="a3"/>
        <w:autoSpaceDE w:val="0"/>
        <w:spacing w:after="0" w:line="576" w:lineRule="exact"/>
        <w:ind w:firstLineChars="200" w:firstLine="640"/>
        <w:jc w:val="left"/>
        <w:rPr>
          <w:rFonts w:ascii="Times New Roman" w:eastAsia="方正黑体_GBK"/>
        </w:rPr>
      </w:pPr>
      <w:r w:rsidRPr="000847B7">
        <w:rPr>
          <w:rFonts w:ascii="Times New Roman" w:eastAsia="方正黑体_GBK" w:hint="eastAsia"/>
        </w:rPr>
        <w:lastRenderedPageBreak/>
        <w:t>三、</w:t>
      </w:r>
      <w:r>
        <w:rPr>
          <w:rFonts w:ascii="Times New Roman" w:eastAsia="方正黑体_GBK" w:hint="eastAsia"/>
        </w:rPr>
        <w:t>发文计划</w:t>
      </w:r>
    </w:p>
    <w:p w:rsidR="000847B7" w:rsidRPr="000847B7" w:rsidRDefault="000847B7" w:rsidP="000847B7">
      <w:pPr>
        <w:pStyle w:val="a3"/>
        <w:autoSpaceDE w:val="0"/>
        <w:spacing w:after="0" w:line="576" w:lineRule="exact"/>
        <w:ind w:firstLineChars="200" w:firstLine="640"/>
        <w:jc w:val="left"/>
        <w:rPr>
          <w:rFonts w:eastAsia="方正仿宋_GBK"/>
        </w:rPr>
      </w:pPr>
      <w:r>
        <w:rPr>
          <w:rFonts w:ascii="Times New Roman" w:eastAsia="方正楷体_GBK" w:hint="eastAsia"/>
        </w:rPr>
        <w:t>关于发文形式：</w:t>
      </w:r>
      <w:r w:rsidRPr="000847B7">
        <w:rPr>
          <w:rFonts w:eastAsia="方正仿宋_GBK" w:hint="eastAsia"/>
        </w:rPr>
        <w:t>计划按程序审定后，以市人民政府办公室名义印发。</w:t>
      </w:r>
    </w:p>
    <w:p w:rsidR="000847B7" w:rsidRDefault="000847B7" w:rsidP="000847B7">
      <w:pPr>
        <w:spacing w:line="576" w:lineRule="exact"/>
        <w:ind w:firstLineChars="200" w:firstLine="640"/>
        <w:rPr>
          <w:rFonts w:ascii="Times New Roman" w:eastAsia="仿宋_GB2312"/>
        </w:rPr>
      </w:pPr>
      <w:r>
        <w:rPr>
          <w:rFonts w:ascii="Times New Roman" w:eastAsia="方正楷体_GBK"/>
        </w:rPr>
        <w:t>关于印发范围：</w:t>
      </w:r>
      <w:r w:rsidRPr="000847B7">
        <w:rPr>
          <w:rFonts w:hint="eastAsia"/>
        </w:rPr>
        <w:t>拟发</w:t>
      </w:r>
      <w:r w:rsidRPr="000847B7">
        <w:t>各县（区）人民政府、巴中经开区</w:t>
      </w:r>
      <w:r w:rsidRPr="000847B7">
        <w:rPr>
          <w:rFonts w:hint="eastAsia"/>
        </w:rPr>
        <w:t>和</w:t>
      </w:r>
      <w:proofErr w:type="gramStart"/>
      <w:r w:rsidRPr="000847B7">
        <w:rPr>
          <w:rFonts w:hint="eastAsia"/>
        </w:rPr>
        <w:t>文旅</w:t>
      </w:r>
      <w:proofErr w:type="gramEnd"/>
      <w:r w:rsidRPr="000847B7">
        <w:rPr>
          <w:rFonts w:hint="eastAsia"/>
        </w:rPr>
        <w:t>新区管委会</w:t>
      </w:r>
      <w:r w:rsidRPr="000847B7">
        <w:t>，市</w:t>
      </w:r>
      <w:r w:rsidRPr="000847B7">
        <w:rPr>
          <w:rFonts w:hint="eastAsia"/>
        </w:rPr>
        <w:t>级相关部门</w:t>
      </w:r>
      <w:r w:rsidRPr="000847B7">
        <w:t>。</w:t>
      </w:r>
    </w:p>
    <w:p w:rsidR="000847B7" w:rsidRPr="000847B7" w:rsidRDefault="000847B7" w:rsidP="000847B7">
      <w:pPr>
        <w:pStyle w:val="a3"/>
        <w:autoSpaceDE w:val="0"/>
        <w:spacing w:after="0" w:line="576" w:lineRule="exact"/>
        <w:ind w:firstLineChars="200" w:firstLine="640"/>
        <w:jc w:val="left"/>
        <w:rPr>
          <w:rFonts w:eastAsia="方正仿宋_GBK" w:hint="eastAsia"/>
        </w:rPr>
      </w:pPr>
      <w:r>
        <w:rPr>
          <w:rFonts w:ascii="Times New Roman" w:eastAsia="方正楷体_GBK"/>
        </w:rPr>
        <w:t>关于公开事项：</w:t>
      </w:r>
      <w:proofErr w:type="gramStart"/>
      <w:r w:rsidRPr="000847B7">
        <w:rPr>
          <w:rFonts w:eastAsia="方正仿宋_GBK"/>
        </w:rPr>
        <w:t>拟主动</w:t>
      </w:r>
      <w:proofErr w:type="gramEnd"/>
      <w:r w:rsidRPr="000847B7">
        <w:rPr>
          <w:rFonts w:eastAsia="方正仿宋_GBK"/>
        </w:rPr>
        <w:t>公开。</w:t>
      </w:r>
    </w:p>
    <w:p w:rsidR="000847B7" w:rsidRPr="000847B7" w:rsidRDefault="000847B7" w:rsidP="000847B7">
      <w:pPr>
        <w:pStyle w:val="a3"/>
        <w:spacing w:line="576" w:lineRule="exact"/>
        <w:ind w:firstLine="636"/>
        <w:rPr>
          <w:rFonts w:eastAsia="方正仿宋_GBK" w:cs="仿宋_GB2312" w:hint="eastAsia"/>
        </w:rPr>
      </w:pPr>
    </w:p>
    <w:p w:rsidR="000847B7" w:rsidRDefault="000847B7" w:rsidP="000847B7">
      <w:pPr>
        <w:pStyle w:val="a3"/>
        <w:spacing w:after="0" w:line="576" w:lineRule="exact"/>
        <w:rPr>
          <w:rFonts w:eastAsia="方正仿宋_GBK" w:cs="仿宋_GB2312" w:hint="eastAsia"/>
        </w:rPr>
      </w:pPr>
    </w:p>
    <w:p w:rsidR="000847B7" w:rsidRDefault="000847B7" w:rsidP="000847B7">
      <w:pPr>
        <w:pStyle w:val="a3"/>
        <w:spacing w:after="0" w:line="576" w:lineRule="exact"/>
        <w:rPr>
          <w:rFonts w:eastAsia="方正仿宋_GBK" w:cs="仿宋_GB2312" w:hint="eastAsia"/>
        </w:rPr>
      </w:pPr>
    </w:p>
    <w:p w:rsidR="000847B7" w:rsidRDefault="000847B7" w:rsidP="000847B7">
      <w:pPr>
        <w:pStyle w:val="a3"/>
        <w:spacing w:after="0" w:line="576" w:lineRule="exact"/>
        <w:rPr>
          <w:rFonts w:eastAsia="方正仿宋_GBK" w:cs="仿宋_GB2312" w:hint="eastAsia"/>
        </w:rPr>
      </w:pPr>
    </w:p>
    <w:p w:rsidR="000847B7" w:rsidRDefault="000847B7" w:rsidP="000847B7">
      <w:pPr>
        <w:pStyle w:val="a3"/>
        <w:spacing w:after="0" w:line="576" w:lineRule="exact"/>
        <w:rPr>
          <w:rFonts w:eastAsia="方正仿宋_GBK" w:cs="仿宋_GB2312"/>
        </w:rPr>
        <w:sectPr w:rsidR="000847B7" w:rsidSect="00ED4A9C">
          <w:pgSz w:w="11906" w:h="16838"/>
          <w:pgMar w:top="1985" w:right="1588" w:bottom="1701" w:left="1588" w:header="851" w:footer="992" w:gutter="0"/>
          <w:cols w:space="425"/>
          <w:docGrid w:type="lines" w:linePitch="312"/>
        </w:sectPr>
      </w:pPr>
    </w:p>
    <w:p w:rsidR="000847B7" w:rsidRPr="00AB393F" w:rsidRDefault="000847B7" w:rsidP="000847B7">
      <w:pPr>
        <w:jc w:val="center"/>
        <w:rPr>
          <w:rFonts w:ascii="方正小标宋_GBK" w:eastAsia="方正小标宋_GBK" w:hAnsi="方正小标宋_GBK"/>
          <w:b/>
          <w:sz w:val="44"/>
          <w:szCs w:val="44"/>
        </w:rPr>
      </w:pPr>
      <w:r w:rsidRPr="00AB393F">
        <w:rPr>
          <w:rFonts w:ascii="方正小标宋_GBK" w:eastAsia="方正小标宋_GBK" w:hAnsi="方正小标宋_GBK" w:hint="eastAsia"/>
          <w:b/>
          <w:sz w:val="44"/>
          <w:szCs w:val="44"/>
        </w:rPr>
        <w:lastRenderedPageBreak/>
        <w:t>《巴中市城市规划管理技术规定（2020版）局部修改》</w:t>
      </w:r>
      <w:r>
        <w:rPr>
          <w:rFonts w:ascii="方正小标宋_GBK" w:eastAsia="方正小标宋_GBK" w:hAnsi="方正小标宋_GBK" w:hint="eastAsia"/>
          <w:b/>
          <w:sz w:val="44"/>
          <w:szCs w:val="44"/>
        </w:rPr>
        <w:t>对比</w:t>
      </w:r>
      <w:r w:rsidRPr="00AB393F">
        <w:rPr>
          <w:rFonts w:ascii="方正小标宋_GBK" w:eastAsia="方正小标宋_GBK" w:hAnsi="方正小标宋_GBK" w:hint="eastAsia"/>
          <w:b/>
          <w:sz w:val="44"/>
          <w:szCs w:val="44"/>
        </w:rPr>
        <w:t>一览表</w:t>
      </w:r>
    </w:p>
    <w:tbl>
      <w:tblPr>
        <w:tblStyle w:val="a6"/>
        <w:tblW w:w="0" w:type="auto"/>
        <w:jc w:val="center"/>
        <w:tblInd w:w="-609" w:type="dxa"/>
        <w:tblLook w:val="04A0"/>
      </w:tblPr>
      <w:tblGrid>
        <w:gridCol w:w="851"/>
        <w:gridCol w:w="926"/>
        <w:gridCol w:w="5177"/>
        <w:gridCol w:w="5670"/>
        <w:gridCol w:w="1134"/>
      </w:tblGrid>
      <w:tr w:rsidR="000847B7" w:rsidRPr="00AB393F" w:rsidTr="001455DC">
        <w:trPr>
          <w:jc w:val="center"/>
        </w:trPr>
        <w:tc>
          <w:tcPr>
            <w:tcW w:w="851" w:type="dxa"/>
          </w:tcPr>
          <w:p w:rsidR="000847B7" w:rsidRPr="00AB393F" w:rsidRDefault="000847B7" w:rsidP="001455DC">
            <w:pPr>
              <w:spacing w:line="360" w:lineRule="exact"/>
              <w:jc w:val="center"/>
              <w:rPr>
                <w:rFonts w:ascii="方正楷体简体" w:eastAsia="方正楷体简体"/>
                <w:b/>
                <w:sz w:val="28"/>
                <w:szCs w:val="28"/>
              </w:rPr>
            </w:pPr>
            <w:r w:rsidRPr="00AB393F">
              <w:rPr>
                <w:rFonts w:ascii="方正楷体简体" w:eastAsia="方正楷体简体" w:hint="eastAsia"/>
                <w:b/>
                <w:sz w:val="28"/>
                <w:szCs w:val="28"/>
              </w:rPr>
              <w:t>序号</w:t>
            </w:r>
          </w:p>
        </w:tc>
        <w:tc>
          <w:tcPr>
            <w:tcW w:w="926" w:type="dxa"/>
          </w:tcPr>
          <w:p w:rsidR="000847B7" w:rsidRPr="00AB393F" w:rsidRDefault="000847B7" w:rsidP="001455DC">
            <w:pPr>
              <w:spacing w:line="360" w:lineRule="exact"/>
              <w:jc w:val="center"/>
              <w:rPr>
                <w:rFonts w:ascii="方正楷体简体" w:eastAsia="方正楷体简体"/>
                <w:b/>
                <w:sz w:val="28"/>
                <w:szCs w:val="28"/>
              </w:rPr>
            </w:pPr>
            <w:r w:rsidRPr="00AB393F">
              <w:rPr>
                <w:rFonts w:ascii="方正楷体简体" w:eastAsia="方正楷体简体" w:hint="eastAsia"/>
                <w:b/>
                <w:sz w:val="28"/>
                <w:szCs w:val="28"/>
              </w:rPr>
              <w:t>类别</w:t>
            </w:r>
          </w:p>
        </w:tc>
        <w:tc>
          <w:tcPr>
            <w:tcW w:w="5177" w:type="dxa"/>
          </w:tcPr>
          <w:p w:rsidR="000847B7" w:rsidRPr="00AB393F" w:rsidRDefault="000847B7" w:rsidP="001455DC">
            <w:pPr>
              <w:spacing w:line="360" w:lineRule="exact"/>
              <w:jc w:val="center"/>
              <w:rPr>
                <w:rFonts w:ascii="方正楷体简体" w:eastAsia="方正楷体简体"/>
                <w:b/>
                <w:sz w:val="28"/>
                <w:szCs w:val="28"/>
              </w:rPr>
            </w:pPr>
            <w:r w:rsidRPr="00AB393F">
              <w:rPr>
                <w:rFonts w:ascii="方正楷体简体" w:eastAsia="方正楷体简体" w:hint="eastAsia"/>
                <w:b/>
                <w:sz w:val="28"/>
                <w:szCs w:val="28"/>
              </w:rPr>
              <w:t>修改前</w:t>
            </w:r>
          </w:p>
        </w:tc>
        <w:tc>
          <w:tcPr>
            <w:tcW w:w="5670" w:type="dxa"/>
          </w:tcPr>
          <w:p w:rsidR="000847B7" w:rsidRPr="00AB393F" w:rsidRDefault="000847B7" w:rsidP="001455DC">
            <w:pPr>
              <w:spacing w:line="360" w:lineRule="exact"/>
              <w:jc w:val="center"/>
              <w:rPr>
                <w:rFonts w:ascii="方正楷体简体" w:eastAsia="方正楷体简体"/>
                <w:b/>
                <w:sz w:val="28"/>
                <w:szCs w:val="28"/>
              </w:rPr>
            </w:pPr>
            <w:r w:rsidRPr="00AB393F">
              <w:rPr>
                <w:rFonts w:ascii="方正楷体简体" w:eastAsia="方正楷体简体" w:hint="eastAsia"/>
                <w:b/>
                <w:sz w:val="28"/>
                <w:szCs w:val="28"/>
              </w:rPr>
              <w:t>修改后</w:t>
            </w:r>
          </w:p>
        </w:tc>
        <w:tc>
          <w:tcPr>
            <w:tcW w:w="1134" w:type="dxa"/>
          </w:tcPr>
          <w:p w:rsidR="000847B7" w:rsidRPr="00AB393F" w:rsidRDefault="000847B7" w:rsidP="001455DC">
            <w:pPr>
              <w:spacing w:line="360" w:lineRule="exact"/>
              <w:jc w:val="center"/>
              <w:rPr>
                <w:rFonts w:ascii="方正楷体简体" w:eastAsia="方正楷体简体"/>
                <w:b/>
                <w:sz w:val="28"/>
                <w:szCs w:val="28"/>
              </w:rPr>
            </w:pPr>
            <w:r w:rsidRPr="00AB393F">
              <w:rPr>
                <w:rFonts w:ascii="方正楷体简体" w:eastAsia="方正楷体简体" w:hint="eastAsia"/>
                <w:b/>
                <w:sz w:val="28"/>
                <w:szCs w:val="28"/>
              </w:rPr>
              <w:t>备注</w:t>
            </w: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sz w:val="24"/>
                <w:szCs w:val="24"/>
              </w:rPr>
              <w:t>1</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tcPr>
          <w:p w:rsidR="000847B7" w:rsidRPr="00B33C90" w:rsidRDefault="000847B7" w:rsidP="001455DC">
            <w:pPr>
              <w:spacing w:line="360" w:lineRule="exact"/>
              <w:jc w:val="left"/>
              <w:rPr>
                <w:sz w:val="24"/>
                <w:szCs w:val="24"/>
              </w:rPr>
            </w:pPr>
            <w:r w:rsidRPr="00B33C90">
              <w:rPr>
                <w:sz w:val="24"/>
                <w:szCs w:val="24"/>
              </w:rPr>
              <w:t>第六条</w:t>
            </w:r>
            <w:r w:rsidRPr="00B33C90">
              <w:rPr>
                <w:rFonts w:hint="eastAsia"/>
                <w:sz w:val="24"/>
                <w:szCs w:val="24"/>
              </w:rPr>
              <w:t>，</w:t>
            </w:r>
            <w:r w:rsidRPr="00B33C90">
              <w:rPr>
                <w:sz w:val="24"/>
                <w:szCs w:val="24"/>
              </w:rPr>
              <w:t>城市建设用地按其主要用途和功能分区的基本原则，参照《城市用地分类与规划建设用地标准》（GB50137</w:t>
            </w:r>
            <w:r w:rsidRPr="00B33C90">
              <w:rPr>
                <w:rFonts w:hint="eastAsia"/>
                <w:sz w:val="24"/>
                <w:szCs w:val="24"/>
              </w:rPr>
              <w:t>—</w:t>
            </w:r>
            <w:r w:rsidRPr="00B33C90">
              <w:rPr>
                <w:sz w:val="24"/>
                <w:szCs w:val="24"/>
              </w:rPr>
              <w:t>2011）确定。分为8大类，35中类，42小类。</w:t>
            </w:r>
          </w:p>
        </w:tc>
        <w:tc>
          <w:tcPr>
            <w:tcW w:w="5670" w:type="dxa"/>
          </w:tcPr>
          <w:p w:rsidR="000847B7" w:rsidRPr="00B33C90" w:rsidRDefault="000847B7" w:rsidP="001455DC">
            <w:pPr>
              <w:spacing w:line="360" w:lineRule="exact"/>
              <w:jc w:val="left"/>
              <w:rPr>
                <w:sz w:val="24"/>
                <w:szCs w:val="24"/>
              </w:rPr>
            </w:pPr>
            <w:r w:rsidRPr="00B33C90">
              <w:rPr>
                <w:sz w:val="24"/>
                <w:szCs w:val="24"/>
              </w:rPr>
              <w:t>第六条</w:t>
            </w:r>
            <w:r w:rsidRPr="00B33C90">
              <w:rPr>
                <w:rFonts w:hint="eastAsia"/>
                <w:sz w:val="24"/>
                <w:szCs w:val="24"/>
              </w:rPr>
              <w:t>，城市建设用地按其主要用途和功能分区的基本原则，参照自然资源部《国土空间调查、规划、用途管制用地用海分类指南》确定。</w:t>
            </w:r>
          </w:p>
        </w:tc>
        <w:tc>
          <w:tcPr>
            <w:tcW w:w="1134" w:type="dxa"/>
          </w:tcPr>
          <w:p w:rsidR="000847B7" w:rsidRPr="00B33C90" w:rsidRDefault="000847B7" w:rsidP="001455DC">
            <w:pPr>
              <w:rPr>
                <w:sz w:val="24"/>
                <w:szCs w:val="24"/>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2</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sz w:val="24"/>
                <w:szCs w:val="24"/>
              </w:rPr>
              <w:t>修改</w:t>
            </w:r>
          </w:p>
        </w:tc>
        <w:tc>
          <w:tcPr>
            <w:tcW w:w="5177" w:type="dxa"/>
          </w:tcPr>
          <w:p w:rsidR="000847B7" w:rsidRPr="00B33C90" w:rsidRDefault="000847B7" w:rsidP="001455DC">
            <w:pPr>
              <w:spacing w:line="360" w:lineRule="exact"/>
              <w:jc w:val="left"/>
              <w:rPr>
                <w:sz w:val="24"/>
                <w:szCs w:val="24"/>
              </w:rPr>
            </w:pPr>
            <w:r w:rsidRPr="00B33C90">
              <w:rPr>
                <w:rFonts w:hint="eastAsia"/>
                <w:bCs/>
                <w:kern w:val="0"/>
                <w:sz w:val="24"/>
                <w:szCs w:val="24"/>
              </w:rPr>
              <w:t>第七条第（五）款：</w:t>
            </w:r>
            <w:r w:rsidRPr="00B33C90">
              <w:rPr>
                <w:rFonts w:hint="eastAsia"/>
                <w:sz w:val="24"/>
                <w:szCs w:val="24"/>
              </w:rPr>
              <w:t>1.以居住为主要用地性质的，</w:t>
            </w:r>
            <w:proofErr w:type="gramStart"/>
            <w:r w:rsidRPr="00B33C90">
              <w:rPr>
                <w:rFonts w:hint="eastAsia"/>
                <w:sz w:val="24"/>
                <w:szCs w:val="24"/>
              </w:rPr>
              <w:t>住宅计容建筑面积</w:t>
            </w:r>
            <w:proofErr w:type="gramEnd"/>
            <w:r w:rsidRPr="00B33C90">
              <w:rPr>
                <w:rFonts w:hint="eastAsia"/>
                <w:sz w:val="24"/>
                <w:szCs w:val="24"/>
              </w:rPr>
              <w:t>应大于规划用地总计容建筑面积的50%，小于或者等于规划用地总计容建筑面积的80%；</w:t>
            </w:r>
          </w:p>
        </w:tc>
        <w:tc>
          <w:tcPr>
            <w:tcW w:w="5670" w:type="dxa"/>
          </w:tcPr>
          <w:p w:rsidR="000847B7" w:rsidRPr="00B33C90" w:rsidRDefault="000847B7" w:rsidP="001455DC">
            <w:pPr>
              <w:spacing w:line="360" w:lineRule="exact"/>
              <w:jc w:val="left"/>
              <w:rPr>
                <w:sz w:val="24"/>
                <w:szCs w:val="24"/>
              </w:rPr>
            </w:pPr>
            <w:r w:rsidRPr="00B33C90">
              <w:rPr>
                <w:rFonts w:hint="eastAsia"/>
                <w:bCs/>
                <w:kern w:val="0"/>
                <w:sz w:val="24"/>
                <w:szCs w:val="24"/>
              </w:rPr>
              <w:t>第七条第（五）款：</w:t>
            </w:r>
            <w:r w:rsidRPr="00B33C90">
              <w:rPr>
                <w:rFonts w:hint="eastAsia"/>
                <w:sz w:val="24"/>
                <w:szCs w:val="24"/>
              </w:rPr>
              <w:t>1.以居住为主要用地性质的，</w:t>
            </w:r>
            <w:proofErr w:type="gramStart"/>
            <w:r w:rsidRPr="00B33C90">
              <w:rPr>
                <w:rFonts w:hint="eastAsia"/>
                <w:sz w:val="24"/>
                <w:szCs w:val="24"/>
              </w:rPr>
              <w:t>住宅计容建筑面积</w:t>
            </w:r>
            <w:proofErr w:type="gramEnd"/>
            <w:r w:rsidRPr="00B33C90">
              <w:rPr>
                <w:rFonts w:hint="eastAsia"/>
                <w:sz w:val="24"/>
                <w:szCs w:val="24"/>
              </w:rPr>
              <w:t>应大于规划用地总计容建筑面积的50%，小于或者等于规划用地总计容建筑面积的90%；</w:t>
            </w:r>
          </w:p>
        </w:tc>
        <w:tc>
          <w:tcPr>
            <w:tcW w:w="1134" w:type="dxa"/>
          </w:tcPr>
          <w:p w:rsidR="000847B7" w:rsidRPr="00B33C90" w:rsidRDefault="000847B7" w:rsidP="001455DC">
            <w:pPr>
              <w:rPr>
                <w:sz w:val="24"/>
                <w:szCs w:val="24"/>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sz w:val="24"/>
                <w:szCs w:val="24"/>
              </w:rPr>
              <w:t>3</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sz w:val="24"/>
                <w:szCs w:val="24"/>
              </w:rPr>
              <w:t>修改</w:t>
            </w:r>
          </w:p>
        </w:tc>
        <w:tc>
          <w:tcPr>
            <w:tcW w:w="5177" w:type="dxa"/>
          </w:tcPr>
          <w:p w:rsidR="000847B7" w:rsidRPr="00B33C90" w:rsidRDefault="000847B7" w:rsidP="001455DC">
            <w:pPr>
              <w:spacing w:line="360" w:lineRule="exact"/>
              <w:jc w:val="left"/>
              <w:rPr>
                <w:sz w:val="24"/>
                <w:szCs w:val="24"/>
              </w:rPr>
            </w:pPr>
            <w:r w:rsidRPr="00B33C90">
              <w:rPr>
                <w:rFonts w:hint="eastAsia"/>
                <w:bCs/>
                <w:kern w:val="0"/>
                <w:sz w:val="24"/>
                <w:szCs w:val="24"/>
              </w:rPr>
              <w:t>第九条，在</w:t>
            </w:r>
            <w:r w:rsidRPr="00B33C90">
              <w:rPr>
                <w:rFonts w:hint="eastAsia"/>
                <w:sz w:val="24"/>
                <w:szCs w:val="24"/>
              </w:rPr>
              <w:t>城市规划区内编制详细规划或新建、扩建、改建的各类建设工程项目的总容积率、建筑密度应符合城市总体规划的相关规定。</w:t>
            </w:r>
          </w:p>
        </w:tc>
        <w:tc>
          <w:tcPr>
            <w:tcW w:w="5670" w:type="dxa"/>
          </w:tcPr>
          <w:p w:rsidR="000847B7" w:rsidRPr="00B33C90" w:rsidRDefault="000847B7" w:rsidP="001455DC">
            <w:pPr>
              <w:spacing w:line="360" w:lineRule="exact"/>
              <w:jc w:val="left"/>
              <w:rPr>
                <w:sz w:val="24"/>
                <w:szCs w:val="24"/>
              </w:rPr>
            </w:pPr>
            <w:r w:rsidRPr="00B33C90">
              <w:rPr>
                <w:rFonts w:hint="eastAsia"/>
                <w:bCs/>
                <w:kern w:val="0"/>
                <w:sz w:val="24"/>
                <w:szCs w:val="24"/>
              </w:rPr>
              <w:t>第九条，</w:t>
            </w:r>
            <w:r w:rsidRPr="00B33C90">
              <w:rPr>
                <w:rFonts w:hint="eastAsia"/>
                <w:sz w:val="24"/>
                <w:szCs w:val="24"/>
              </w:rPr>
              <w:t>在城市规划区内编制详细规划或新建、扩建、改建的各类建设工程项目的总容积率、建筑密度应符合国土空间规划的相关规定。</w:t>
            </w:r>
          </w:p>
        </w:tc>
        <w:tc>
          <w:tcPr>
            <w:tcW w:w="1134" w:type="dxa"/>
          </w:tcPr>
          <w:p w:rsidR="000847B7" w:rsidRPr="00B33C90" w:rsidRDefault="000847B7" w:rsidP="001455DC">
            <w:pPr>
              <w:jc w:val="center"/>
              <w:rPr>
                <w:sz w:val="24"/>
                <w:szCs w:val="24"/>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4</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sz w:val="24"/>
                <w:szCs w:val="24"/>
              </w:rPr>
              <w:t>新增</w:t>
            </w:r>
          </w:p>
        </w:tc>
        <w:tc>
          <w:tcPr>
            <w:tcW w:w="10847" w:type="dxa"/>
            <w:gridSpan w:val="2"/>
            <w:vAlign w:val="center"/>
          </w:tcPr>
          <w:p w:rsidR="000847B7" w:rsidRPr="00B33C90" w:rsidRDefault="000847B7" w:rsidP="001455DC">
            <w:pPr>
              <w:spacing w:line="360" w:lineRule="exact"/>
              <w:jc w:val="left"/>
              <w:rPr>
                <w:sz w:val="28"/>
                <w:szCs w:val="28"/>
              </w:rPr>
            </w:pPr>
            <w:r w:rsidRPr="00B33C90">
              <w:rPr>
                <w:sz w:val="24"/>
                <w:szCs w:val="24"/>
              </w:rPr>
              <w:t>第十四条</w:t>
            </w:r>
            <w:r w:rsidRPr="00B33C90">
              <w:rPr>
                <w:rFonts w:hint="eastAsia"/>
                <w:sz w:val="24"/>
                <w:szCs w:val="24"/>
              </w:rPr>
              <w:t>，</w:t>
            </w:r>
            <w:r w:rsidRPr="00B33C90">
              <w:rPr>
                <w:sz w:val="24"/>
                <w:szCs w:val="24"/>
              </w:rPr>
              <w:t>控制性详细规划明确住宅用地中须独立配建农贸市场或其它公共服务配套设施建筑面积大于2000㎡的，该规划地块的建筑密度可适当提高</w:t>
            </w:r>
            <w:r w:rsidRPr="00B33C90">
              <w:rPr>
                <w:rFonts w:hint="eastAsia"/>
                <w:sz w:val="24"/>
                <w:szCs w:val="24"/>
              </w:rPr>
              <w:t>（在规划条件中明确）</w:t>
            </w:r>
            <w:r w:rsidRPr="00B33C90">
              <w:rPr>
                <w:sz w:val="24"/>
                <w:szCs w:val="24"/>
              </w:rPr>
              <w:t>，提高比例不超过5%。</w:t>
            </w:r>
          </w:p>
        </w:tc>
        <w:tc>
          <w:tcPr>
            <w:tcW w:w="1134" w:type="dxa"/>
            <w:vAlign w:val="center"/>
          </w:tcPr>
          <w:p w:rsidR="000847B7" w:rsidRPr="00B33C90" w:rsidRDefault="000847B7" w:rsidP="001455DC">
            <w:pPr>
              <w:spacing w:line="320" w:lineRule="exact"/>
              <w:jc w:val="center"/>
              <w:rPr>
                <w:sz w:val="24"/>
                <w:szCs w:val="24"/>
              </w:rPr>
            </w:pPr>
            <w:r w:rsidRPr="00B33C90">
              <w:rPr>
                <w:rFonts w:hint="eastAsia"/>
                <w:sz w:val="24"/>
                <w:szCs w:val="24"/>
              </w:rPr>
              <w:t>编号顺延（下同）</w:t>
            </w: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5</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sz w:val="24"/>
                <w:szCs w:val="24"/>
              </w:rPr>
              <w:t>新增</w:t>
            </w:r>
          </w:p>
        </w:tc>
        <w:tc>
          <w:tcPr>
            <w:tcW w:w="10847" w:type="dxa"/>
            <w:gridSpan w:val="2"/>
            <w:vAlign w:val="center"/>
          </w:tcPr>
          <w:p w:rsidR="000847B7" w:rsidRPr="00B33C90" w:rsidRDefault="000847B7" w:rsidP="001455DC">
            <w:pPr>
              <w:spacing w:line="320" w:lineRule="exact"/>
              <w:jc w:val="left"/>
              <w:rPr>
                <w:sz w:val="28"/>
                <w:szCs w:val="28"/>
              </w:rPr>
            </w:pPr>
            <w:r w:rsidRPr="00B33C90">
              <w:rPr>
                <w:sz w:val="24"/>
                <w:szCs w:val="24"/>
              </w:rPr>
              <w:t>第十五条</w:t>
            </w:r>
            <w:r w:rsidRPr="00B33C90">
              <w:rPr>
                <w:rFonts w:hint="eastAsia"/>
                <w:sz w:val="24"/>
                <w:szCs w:val="24"/>
              </w:rPr>
              <w:t>，</w:t>
            </w:r>
            <w:r w:rsidRPr="00B33C90">
              <w:rPr>
                <w:rFonts w:hint="eastAsia"/>
                <w:bCs/>
                <w:sz w:val="24"/>
                <w:szCs w:val="24"/>
              </w:rPr>
              <w:t>国有建设用地出让、划拨前，或已出让、划拨，但未实质性开工建设的，</w:t>
            </w:r>
            <w:r w:rsidRPr="00B33C90">
              <w:rPr>
                <w:sz w:val="24"/>
                <w:szCs w:val="24"/>
              </w:rPr>
              <w:t>在有利于城市空间形态、优化城市功能布局的前提下，</w:t>
            </w:r>
            <w:r w:rsidRPr="00B33C90">
              <w:rPr>
                <w:rFonts w:hint="eastAsia"/>
                <w:bCs/>
                <w:sz w:val="24"/>
                <w:szCs w:val="24"/>
              </w:rPr>
              <w:t>征得相关权益人和利害关系人的同意，</w:t>
            </w:r>
            <w:r w:rsidRPr="00B33C90">
              <w:rPr>
                <w:sz w:val="24"/>
                <w:szCs w:val="24"/>
              </w:rPr>
              <w:t>符合以下原则的，相邻多个地块的容积率、绿地率等规划指标可以进行总体平衡</w:t>
            </w:r>
            <w:r>
              <w:rPr>
                <w:rFonts w:hint="eastAsia"/>
                <w:sz w:val="24"/>
                <w:szCs w:val="24"/>
              </w:rPr>
              <w:t>（</w:t>
            </w:r>
            <w:r w:rsidRPr="007E7130">
              <w:rPr>
                <w:rFonts w:hint="eastAsia"/>
                <w:sz w:val="24"/>
                <w:szCs w:val="24"/>
              </w:rPr>
              <w:t>平衡的比例不超过30%</w:t>
            </w:r>
            <w:r>
              <w:rPr>
                <w:rFonts w:hint="eastAsia"/>
                <w:sz w:val="24"/>
                <w:szCs w:val="24"/>
              </w:rPr>
              <w:t>）</w:t>
            </w:r>
            <w:r w:rsidRPr="00B33C90">
              <w:rPr>
                <w:sz w:val="24"/>
                <w:szCs w:val="24"/>
              </w:rPr>
              <w:t>，按照控制性详细规划局部调整程序进行修改：1.总计容建筑面积不增加，各</w:t>
            </w:r>
            <w:proofErr w:type="gramStart"/>
            <w:r w:rsidRPr="00B33C90">
              <w:rPr>
                <w:sz w:val="24"/>
                <w:szCs w:val="24"/>
              </w:rPr>
              <w:t>类计容</w:t>
            </w:r>
            <w:proofErr w:type="gramEnd"/>
            <w:r w:rsidRPr="00B33C90">
              <w:rPr>
                <w:sz w:val="24"/>
                <w:szCs w:val="24"/>
              </w:rPr>
              <w:t>建筑面积不突破；2.交通设施、公共服务设施、公用设施、公园绿地等用地面积不减少；3.不突破《城市居住区规划设计标准GB50180</w:t>
            </w:r>
            <w:r w:rsidRPr="00B33C90">
              <w:rPr>
                <w:sz w:val="24"/>
                <w:szCs w:val="24"/>
              </w:rPr>
              <w:t>—</w:t>
            </w:r>
            <w:r w:rsidRPr="00B33C90">
              <w:rPr>
                <w:sz w:val="24"/>
                <w:szCs w:val="24"/>
              </w:rPr>
              <w:t>2018》的</w:t>
            </w:r>
            <w:r w:rsidRPr="00B33C90">
              <w:rPr>
                <w:rFonts w:hint="eastAsia"/>
                <w:sz w:val="24"/>
                <w:szCs w:val="24"/>
              </w:rPr>
              <w:t>相关</w:t>
            </w:r>
            <w:r w:rsidRPr="00B33C90">
              <w:rPr>
                <w:sz w:val="24"/>
                <w:szCs w:val="24"/>
              </w:rPr>
              <w:t>要求。</w:t>
            </w:r>
          </w:p>
        </w:tc>
        <w:tc>
          <w:tcPr>
            <w:tcW w:w="1134" w:type="dxa"/>
            <w:vAlign w:val="center"/>
          </w:tcPr>
          <w:p w:rsidR="000847B7" w:rsidRPr="00B33C90" w:rsidRDefault="000847B7" w:rsidP="001455DC">
            <w:pPr>
              <w:jc w:val="cente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lastRenderedPageBreak/>
              <w:t>6</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sz w:val="24"/>
                <w:szCs w:val="24"/>
              </w:rPr>
              <w:t>修改</w:t>
            </w:r>
          </w:p>
        </w:tc>
        <w:tc>
          <w:tcPr>
            <w:tcW w:w="5177" w:type="dxa"/>
            <w:vAlign w:val="center"/>
          </w:tcPr>
          <w:p w:rsidR="000847B7" w:rsidRPr="00B33C90" w:rsidRDefault="000847B7" w:rsidP="001455DC">
            <w:pPr>
              <w:spacing w:line="320" w:lineRule="exact"/>
              <w:jc w:val="left"/>
              <w:rPr>
                <w:sz w:val="24"/>
                <w:szCs w:val="24"/>
              </w:rPr>
            </w:pPr>
            <w:r w:rsidRPr="00B33C90">
              <w:rPr>
                <w:rFonts w:hint="eastAsia"/>
                <w:bCs/>
                <w:kern w:val="0"/>
                <w:sz w:val="24"/>
                <w:szCs w:val="24"/>
              </w:rPr>
              <w:t>第十七条第（</w:t>
            </w:r>
            <w:r w:rsidRPr="00B33C90">
              <w:rPr>
                <w:rFonts w:hint="eastAsia"/>
                <w:sz w:val="24"/>
                <w:szCs w:val="24"/>
              </w:rPr>
              <w:t>二）款：若相邻地块之间采用建筑拼建，</w:t>
            </w:r>
            <w:proofErr w:type="gramStart"/>
            <w:r w:rsidRPr="00B33C90">
              <w:rPr>
                <w:rFonts w:hint="eastAsia"/>
                <w:sz w:val="24"/>
                <w:szCs w:val="24"/>
              </w:rPr>
              <w:t>拼建部分</w:t>
            </w:r>
            <w:proofErr w:type="gramEnd"/>
            <w:r w:rsidRPr="00B33C90">
              <w:rPr>
                <w:rFonts w:hint="eastAsia"/>
                <w:sz w:val="24"/>
                <w:szCs w:val="24"/>
              </w:rPr>
              <w:t>可不退用地红线，但须符合消防等相关安全规定，拼接建筑</w:t>
            </w:r>
            <w:proofErr w:type="gramStart"/>
            <w:r w:rsidRPr="00B33C90">
              <w:rPr>
                <w:rFonts w:hint="eastAsia"/>
                <w:sz w:val="24"/>
                <w:szCs w:val="24"/>
              </w:rPr>
              <w:t>须整体</w:t>
            </w:r>
            <w:proofErr w:type="gramEnd"/>
            <w:r w:rsidRPr="00B33C90">
              <w:rPr>
                <w:rFonts w:hint="eastAsia"/>
                <w:sz w:val="24"/>
                <w:szCs w:val="24"/>
              </w:rPr>
              <w:t>设计并同步实施。</w:t>
            </w:r>
          </w:p>
        </w:tc>
        <w:tc>
          <w:tcPr>
            <w:tcW w:w="5670" w:type="dxa"/>
          </w:tcPr>
          <w:p w:rsidR="000847B7" w:rsidRPr="00B33C90" w:rsidRDefault="000847B7" w:rsidP="001455DC">
            <w:pPr>
              <w:spacing w:line="320" w:lineRule="exact"/>
              <w:jc w:val="left"/>
              <w:rPr>
                <w:sz w:val="24"/>
                <w:szCs w:val="24"/>
              </w:rPr>
            </w:pPr>
            <w:r w:rsidRPr="00B33C90">
              <w:rPr>
                <w:rFonts w:hint="eastAsia"/>
                <w:sz w:val="24"/>
                <w:szCs w:val="24"/>
              </w:rPr>
              <w:t>第十九条（二）若相邻地块之间采用建筑拼建（不得与幼儿园、小学、中学三类用地拼建），</w:t>
            </w:r>
            <w:proofErr w:type="gramStart"/>
            <w:r w:rsidRPr="00B33C90">
              <w:rPr>
                <w:rFonts w:hint="eastAsia"/>
                <w:sz w:val="24"/>
                <w:szCs w:val="24"/>
              </w:rPr>
              <w:t>拼建部分</w:t>
            </w:r>
            <w:proofErr w:type="gramEnd"/>
            <w:r w:rsidRPr="00B33C90">
              <w:rPr>
                <w:rFonts w:hint="eastAsia"/>
                <w:sz w:val="24"/>
                <w:szCs w:val="24"/>
              </w:rPr>
              <w:t>可不退用地红线，但须符合消防等相关安全规定，拼接建筑</w:t>
            </w:r>
            <w:proofErr w:type="gramStart"/>
            <w:r w:rsidRPr="00B33C90">
              <w:rPr>
                <w:rFonts w:hint="eastAsia"/>
                <w:sz w:val="24"/>
                <w:szCs w:val="24"/>
              </w:rPr>
              <w:t>须整体</w:t>
            </w:r>
            <w:proofErr w:type="gramEnd"/>
            <w:r w:rsidRPr="00B33C90">
              <w:rPr>
                <w:rFonts w:hint="eastAsia"/>
                <w:sz w:val="24"/>
                <w:szCs w:val="24"/>
              </w:rPr>
              <w:t>设计并同步实施。</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7</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sz w:val="24"/>
                <w:szCs w:val="24"/>
              </w:rPr>
              <w:t>修改</w:t>
            </w:r>
          </w:p>
        </w:tc>
        <w:tc>
          <w:tcPr>
            <w:tcW w:w="5177" w:type="dxa"/>
          </w:tcPr>
          <w:p w:rsidR="000847B7" w:rsidRPr="00B33C90" w:rsidRDefault="000847B7" w:rsidP="001455DC">
            <w:pPr>
              <w:spacing w:line="320" w:lineRule="exact"/>
              <w:rPr>
                <w:sz w:val="28"/>
                <w:szCs w:val="28"/>
              </w:rPr>
            </w:pPr>
            <w:r w:rsidRPr="00B33C90">
              <w:rPr>
                <w:bCs/>
                <w:kern w:val="0"/>
                <w:sz w:val="24"/>
                <w:szCs w:val="24"/>
              </w:rPr>
              <w:t>第二十六条</w:t>
            </w:r>
            <w:r w:rsidRPr="00B33C90">
              <w:rPr>
                <w:rFonts w:hint="eastAsia"/>
                <w:bCs/>
                <w:kern w:val="0"/>
                <w:sz w:val="24"/>
                <w:szCs w:val="24"/>
              </w:rPr>
              <w:t>，</w:t>
            </w:r>
            <w:r w:rsidRPr="00B33C90">
              <w:rPr>
                <w:kern w:val="0"/>
                <w:sz w:val="24"/>
                <w:szCs w:val="24"/>
              </w:rPr>
              <w:t>建筑高度大于80m的非居住建筑，其间距按80m计算，超高层等特殊建筑间距通过日照计算确定。</w:t>
            </w:r>
          </w:p>
        </w:tc>
        <w:tc>
          <w:tcPr>
            <w:tcW w:w="5670" w:type="dxa"/>
          </w:tcPr>
          <w:p w:rsidR="000847B7" w:rsidRPr="00B33C90" w:rsidRDefault="000847B7" w:rsidP="001455DC">
            <w:pPr>
              <w:spacing w:line="320" w:lineRule="exact"/>
              <w:rPr>
                <w:sz w:val="28"/>
                <w:szCs w:val="28"/>
              </w:rPr>
            </w:pPr>
            <w:r w:rsidRPr="00B33C90">
              <w:rPr>
                <w:kern w:val="0"/>
                <w:sz w:val="24"/>
                <w:szCs w:val="24"/>
              </w:rPr>
              <w:t>第二十八条</w:t>
            </w:r>
            <w:r w:rsidRPr="00B33C90">
              <w:rPr>
                <w:rFonts w:hint="eastAsia"/>
                <w:kern w:val="0"/>
                <w:sz w:val="24"/>
                <w:szCs w:val="24"/>
              </w:rPr>
              <w:t>，</w:t>
            </w:r>
            <w:r w:rsidRPr="00B33C90">
              <w:rPr>
                <w:sz w:val="24"/>
                <w:szCs w:val="24"/>
              </w:rPr>
              <w:t>建筑高度大于80m的非居住建筑，</w:t>
            </w:r>
            <w:r w:rsidRPr="00B33C90">
              <w:rPr>
                <w:kern w:val="0"/>
                <w:sz w:val="24"/>
                <w:szCs w:val="24"/>
              </w:rPr>
              <w:t>其间距按</w:t>
            </w:r>
            <w:r w:rsidRPr="00B33C90">
              <w:rPr>
                <w:rFonts w:hint="eastAsia"/>
                <w:kern w:val="0"/>
                <w:sz w:val="24"/>
                <w:szCs w:val="24"/>
              </w:rPr>
              <w:t>不小于</w:t>
            </w:r>
            <w:r w:rsidRPr="00B33C90">
              <w:rPr>
                <w:kern w:val="0"/>
                <w:sz w:val="24"/>
                <w:szCs w:val="24"/>
              </w:rPr>
              <w:t>80m</w:t>
            </w:r>
            <w:r w:rsidRPr="00B33C90">
              <w:rPr>
                <w:rFonts w:hint="eastAsia"/>
                <w:kern w:val="0"/>
                <w:sz w:val="24"/>
                <w:szCs w:val="24"/>
              </w:rPr>
              <w:t>建筑高度</w:t>
            </w:r>
            <w:r w:rsidRPr="00B33C90">
              <w:rPr>
                <w:kern w:val="0"/>
                <w:sz w:val="24"/>
                <w:szCs w:val="24"/>
              </w:rPr>
              <w:t>计算，但应满足消防间距</w:t>
            </w:r>
            <w:r w:rsidRPr="00B33C90">
              <w:rPr>
                <w:rFonts w:hint="eastAsia"/>
                <w:kern w:val="0"/>
                <w:sz w:val="24"/>
                <w:szCs w:val="24"/>
              </w:rPr>
              <w:t>和</w:t>
            </w:r>
            <w:r w:rsidRPr="00B33C90">
              <w:rPr>
                <w:kern w:val="0"/>
                <w:sz w:val="24"/>
                <w:szCs w:val="24"/>
              </w:rPr>
              <w:t>日照间距。</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8</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sz w:val="24"/>
                <w:szCs w:val="24"/>
              </w:rPr>
              <w:t>修改</w:t>
            </w:r>
          </w:p>
        </w:tc>
        <w:tc>
          <w:tcPr>
            <w:tcW w:w="5177" w:type="dxa"/>
          </w:tcPr>
          <w:p w:rsidR="000847B7" w:rsidRPr="00B33C90" w:rsidRDefault="000847B7" w:rsidP="001455DC">
            <w:pPr>
              <w:spacing w:line="320" w:lineRule="exact"/>
              <w:rPr>
                <w:bCs/>
                <w:kern w:val="0"/>
                <w:sz w:val="24"/>
                <w:szCs w:val="24"/>
              </w:rPr>
            </w:pPr>
            <w:r w:rsidRPr="00B33C90">
              <w:rPr>
                <w:bCs/>
                <w:kern w:val="0"/>
                <w:sz w:val="24"/>
                <w:szCs w:val="24"/>
              </w:rPr>
              <w:t>第三十七条</w:t>
            </w:r>
            <w:r w:rsidRPr="00B33C90">
              <w:rPr>
                <w:bCs/>
                <w:kern w:val="0"/>
                <w:sz w:val="24"/>
                <w:szCs w:val="24"/>
              </w:rPr>
              <w:t>……</w:t>
            </w:r>
            <w:r w:rsidRPr="00B33C90">
              <w:rPr>
                <w:bCs/>
                <w:kern w:val="0"/>
                <w:sz w:val="24"/>
                <w:szCs w:val="24"/>
              </w:rPr>
              <w:t>（三）生产性工业建筑后退规划道路红线、绿线、蓝线等距离同时满足相关规定要求。</w:t>
            </w:r>
          </w:p>
        </w:tc>
        <w:tc>
          <w:tcPr>
            <w:tcW w:w="5670" w:type="dxa"/>
          </w:tcPr>
          <w:p w:rsidR="000847B7" w:rsidRPr="00B33C90" w:rsidRDefault="000847B7" w:rsidP="001455DC">
            <w:pPr>
              <w:shd w:val="clear" w:color="auto" w:fill="FFFFFF"/>
              <w:spacing w:line="320" w:lineRule="exact"/>
              <w:rPr>
                <w:kern w:val="0"/>
                <w:sz w:val="24"/>
                <w:szCs w:val="24"/>
              </w:rPr>
            </w:pPr>
            <w:r w:rsidRPr="00B33C90">
              <w:rPr>
                <w:bCs/>
                <w:kern w:val="0"/>
                <w:sz w:val="24"/>
                <w:szCs w:val="24"/>
              </w:rPr>
              <w:t>第三十九条</w:t>
            </w:r>
            <w:r w:rsidRPr="00B33C90">
              <w:rPr>
                <w:bCs/>
                <w:kern w:val="0"/>
                <w:sz w:val="24"/>
                <w:szCs w:val="24"/>
              </w:rPr>
              <w:t>…</w:t>
            </w:r>
            <w:r w:rsidRPr="00B33C90">
              <w:rPr>
                <w:rFonts w:hint="eastAsia"/>
                <w:bCs/>
                <w:kern w:val="0"/>
                <w:sz w:val="24"/>
                <w:szCs w:val="24"/>
              </w:rPr>
              <w:t>.（三）工业园区内，工业建筑退让园区内部道路、规划用地红线的距离可适当降低，</w:t>
            </w:r>
            <w:proofErr w:type="gramStart"/>
            <w:r w:rsidRPr="00B33C90">
              <w:rPr>
                <w:rFonts w:hint="eastAsia"/>
                <w:bCs/>
                <w:kern w:val="0"/>
                <w:sz w:val="24"/>
                <w:szCs w:val="24"/>
              </w:rPr>
              <w:t>退距系数</w:t>
            </w:r>
            <w:proofErr w:type="gramEnd"/>
            <w:r w:rsidRPr="00B33C90">
              <w:rPr>
                <w:rFonts w:hint="eastAsia"/>
                <w:bCs/>
                <w:kern w:val="0"/>
                <w:sz w:val="24"/>
                <w:szCs w:val="24"/>
              </w:rPr>
              <w:t>不小于0.5，且应满足消防规范和建筑设计防火规范的相关要求。</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9</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tcPr>
          <w:p w:rsidR="000847B7" w:rsidRPr="00B33C90" w:rsidRDefault="000847B7" w:rsidP="001455DC">
            <w:pPr>
              <w:spacing w:line="320" w:lineRule="exact"/>
              <w:rPr>
                <w:bCs/>
                <w:kern w:val="0"/>
                <w:sz w:val="24"/>
                <w:szCs w:val="24"/>
              </w:rPr>
            </w:pPr>
            <w:r w:rsidRPr="00B33C90">
              <w:rPr>
                <w:rFonts w:hint="eastAsia"/>
                <w:sz w:val="24"/>
                <w:szCs w:val="24"/>
              </w:rPr>
              <w:t>第四十八条，</w:t>
            </w:r>
            <w:r w:rsidRPr="00B33C90">
              <w:rPr>
                <w:rFonts w:hint="eastAsia"/>
                <w:bCs/>
                <w:kern w:val="0"/>
                <w:sz w:val="24"/>
                <w:szCs w:val="24"/>
              </w:rPr>
              <w:t>办公、酒店用房层高不应大于4.2m，建筑公共部分的门厅</w:t>
            </w:r>
            <w:r w:rsidRPr="00B33C90">
              <w:rPr>
                <w:bCs/>
                <w:kern w:val="0"/>
                <w:sz w:val="24"/>
                <w:szCs w:val="24"/>
              </w:rPr>
              <w:t>…</w:t>
            </w:r>
            <w:r w:rsidRPr="00B33C90">
              <w:rPr>
                <w:rFonts w:hint="eastAsia"/>
                <w:bCs/>
                <w:kern w:val="0"/>
                <w:sz w:val="24"/>
                <w:szCs w:val="24"/>
              </w:rPr>
              <w:t>.适当提高。</w:t>
            </w:r>
          </w:p>
        </w:tc>
        <w:tc>
          <w:tcPr>
            <w:tcW w:w="5670" w:type="dxa"/>
          </w:tcPr>
          <w:p w:rsidR="000847B7" w:rsidRPr="00B33C90" w:rsidRDefault="000847B7" w:rsidP="001455DC">
            <w:pPr>
              <w:spacing w:line="320" w:lineRule="exact"/>
              <w:rPr>
                <w:bCs/>
                <w:kern w:val="0"/>
                <w:sz w:val="24"/>
                <w:szCs w:val="24"/>
              </w:rPr>
            </w:pPr>
            <w:r w:rsidRPr="00B33C90">
              <w:rPr>
                <w:rFonts w:hint="eastAsia"/>
                <w:bCs/>
                <w:sz w:val="24"/>
                <w:szCs w:val="24"/>
              </w:rPr>
              <w:t>第五十条，办公建筑层高不应大于4.2m，酒店建筑层高不应大于4.9m，建筑公共部分的</w:t>
            </w:r>
            <w:r w:rsidRPr="00B33C90">
              <w:rPr>
                <w:bCs/>
                <w:sz w:val="24"/>
                <w:szCs w:val="24"/>
              </w:rPr>
              <w:t>…</w:t>
            </w:r>
            <w:r w:rsidRPr="00B33C90">
              <w:rPr>
                <w:rFonts w:hint="eastAsia"/>
                <w:bCs/>
                <w:sz w:val="24"/>
                <w:szCs w:val="24"/>
              </w:rPr>
              <w:t>.适当提高。</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10</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tcPr>
          <w:p w:rsidR="000847B7" w:rsidRPr="00B33C90" w:rsidRDefault="000847B7" w:rsidP="001455DC">
            <w:pPr>
              <w:spacing w:line="320" w:lineRule="exact"/>
              <w:rPr>
                <w:sz w:val="24"/>
                <w:szCs w:val="24"/>
              </w:rPr>
            </w:pPr>
            <w:r w:rsidRPr="00B33C90">
              <w:rPr>
                <w:bCs/>
                <w:sz w:val="24"/>
                <w:szCs w:val="24"/>
              </w:rPr>
              <w:t>第四十九条</w:t>
            </w:r>
            <w:r w:rsidRPr="00B33C90">
              <w:rPr>
                <w:rFonts w:hint="eastAsia"/>
                <w:bCs/>
                <w:sz w:val="24"/>
                <w:szCs w:val="24"/>
              </w:rPr>
              <w:t>，</w:t>
            </w:r>
            <w:r w:rsidRPr="00B33C90">
              <w:rPr>
                <w:bCs/>
                <w:sz w:val="24"/>
                <w:szCs w:val="24"/>
              </w:rPr>
              <w:t>商业用房层高不应大于5.1m，建筑公共部分的门厅</w:t>
            </w:r>
            <w:r w:rsidRPr="00B33C90">
              <w:rPr>
                <w:bCs/>
                <w:sz w:val="24"/>
                <w:szCs w:val="24"/>
              </w:rPr>
              <w:t>…</w:t>
            </w:r>
            <w:r w:rsidRPr="00B33C90">
              <w:rPr>
                <w:bCs/>
                <w:sz w:val="24"/>
                <w:szCs w:val="24"/>
              </w:rPr>
              <w:t>等功能集中布置的单一空间达到1000㎡以上的商业建筑，其层高不大于5.7m，且不得设置夹层。电影院、体育场馆、展示厅、报告会议厅、宴会厅等有特殊功能需要的建筑层高可根据功能要求适当提高。</w:t>
            </w:r>
          </w:p>
        </w:tc>
        <w:tc>
          <w:tcPr>
            <w:tcW w:w="5670" w:type="dxa"/>
          </w:tcPr>
          <w:p w:rsidR="000847B7" w:rsidRPr="00B33C90" w:rsidRDefault="000847B7" w:rsidP="001455DC">
            <w:pPr>
              <w:spacing w:line="320" w:lineRule="exact"/>
              <w:rPr>
                <w:bCs/>
                <w:sz w:val="24"/>
                <w:szCs w:val="24"/>
              </w:rPr>
            </w:pPr>
            <w:r w:rsidRPr="00B33C90">
              <w:rPr>
                <w:bCs/>
                <w:sz w:val="24"/>
                <w:szCs w:val="24"/>
              </w:rPr>
              <w:t>第五十一条</w:t>
            </w:r>
            <w:r w:rsidRPr="00B33C90">
              <w:rPr>
                <w:rFonts w:hint="eastAsia"/>
                <w:bCs/>
                <w:sz w:val="24"/>
                <w:szCs w:val="24"/>
              </w:rPr>
              <w:t>，</w:t>
            </w:r>
            <w:r w:rsidRPr="00B33C90">
              <w:rPr>
                <w:bCs/>
                <w:sz w:val="24"/>
                <w:szCs w:val="24"/>
              </w:rPr>
              <w:t>商业</w:t>
            </w:r>
            <w:r w:rsidRPr="00B33C90">
              <w:rPr>
                <w:rFonts w:hint="eastAsia"/>
                <w:bCs/>
                <w:sz w:val="24"/>
                <w:szCs w:val="24"/>
              </w:rPr>
              <w:t>建筑</w:t>
            </w:r>
            <w:r w:rsidRPr="00B33C90">
              <w:rPr>
                <w:bCs/>
                <w:sz w:val="24"/>
                <w:szCs w:val="24"/>
              </w:rPr>
              <w:t>层高不应大于5.7m</w:t>
            </w:r>
            <w:r w:rsidRPr="00B33C90">
              <w:rPr>
                <w:rFonts w:hint="eastAsia"/>
                <w:bCs/>
                <w:sz w:val="24"/>
                <w:szCs w:val="24"/>
              </w:rPr>
              <w:t>（不得设置夹层）</w:t>
            </w:r>
            <w:r w:rsidRPr="00B33C90">
              <w:rPr>
                <w:bCs/>
                <w:sz w:val="24"/>
                <w:szCs w:val="24"/>
              </w:rPr>
              <w:t>，建筑公共部分的门厅</w:t>
            </w:r>
            <w:r w:rsidRPr="00B33C90">
              <w:rPr>
                <w:bCs/>
                <w:sz w:val="24"/>
                <w:szCs w:val="24"/>
              </w:rPr>
              <w:t>…</w:t>
            </w:r>
            <w:r w:rsidRPr="00B33C90">
              <w:rPr>
                <w:bCs/>
                <w:sz w:val="24"/>
                <w:szCs w:val="24"/>
              </w:rPr>
              <w:t>等功能集中布置的单一空间达到2000㎡以上的商业建筑，以及电影院、体育场馆、博物馆、多功能厅、展示厅、报告会议厅、宴会厅、学校、医院等有特殊功能需要的建筑层高可根据功能要求适当提高。</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11</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tcPr>
          <w:p w:rsidR="000847B7" w:rsidRPr="00B33C90" w:rsidRDefault="000847B7" w:rsidP="001455DC">
            <w:pPr>
              <w:spacing w:line="320" w:lineRule="exact"/>
              <w:rPr>
                <w:bCs/>
                <w:sz w:val="24"/>
                <w:szCs w:val="24"/>
              </w:rPr>
            </w:pPr>
            <w:r w:rsidRPr="00B33C90">
              <w:rPr>
                <w:sz w:val="24"/>
                <w:szCs w:val="24"/>
              </w:rPr>
              <w:t>第五十条</w:t>
            </w:r>
            <w:r w:rsidRPr="00B33C90">
              <w:rPr>
                <w:rFonts w:hint="eastAsia"/>
                <w:sz w:val="24"/>
                <w:szCs w:val="24"/>
              </w:rPr>
              <w:t>，</w:t>
            </w:r>
            <w:r w:rsidRPr="00B33C90">
              <w:rPr>
                <w:sz w:val="24"/>
                <w:szCs w:val="24"/>
              </w:rPr>
              <w:t>商业、办公类建设项目（含商兼住、住兼商项目中的商业、办公部分，不含酒店）不得采用住宅单元式布局和住宅套型式功能设计。</w:t>
            </w:r>
          </w:p>
        </w:tc>
        <w:tc>
          <w:tcPr>
            <w:tcW w:w="5670" w:type="dxa"/>
          </w:tcPr>
          <w:p w:rsidR="000847B7" w:rsidRPr="00B33C90" w:rsidRDefault="000847B7" w:rsidP="001455DC">
            <w:pPr>
              <w:spacing w:line="320" w:lineRule="exact"/>
              <w:rPr>
                <w:bCs/>
                <w:sz w:val="24"/>
                <w:szCs w:val="24"/>
              </w:rPr>
            </w:pPr>
            <w:r w:rsidRPr="00B33C90">
              <w:rPr>
                <w:bCs/>
                <w:sz w:val="24"/>
                <w:szCs w:val="24"/>
              </w:rPr>
              <w:t>第五十二条</w:t>
            </w:r>
            <w:r w:rsidRPr="00B33C90">
              <w:rPr>
                <w:rFonts w:hint="eastAsia"/>
                <w:bCs/>
                <w:sz w:val="24"/>
                <w:szCs w:val="24"/>
              </w:rPr>
              <w:t>，</w:t>
            </w:r>
            <w:r w:rsidRPr="00B33C90">
              <w:rPr>
                <w:bCs/>
                <w:sz w:val="24"/>
                <w:szCs w:val="24"/>
              </w:rPr>
              <w:t>商业、办公类建筑宜采用开敞式大空间或公共走廊式布局，开水间、卫生间、管道井等应集中设计，空调室外机位和各类管线应做遮蔽处理。</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12</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新增</w:t>
            </w:r>
          </w:p>
        </w:tc>
        <w:tc>
          <w:tcPr>
            <w:tcW w:w="10847" w:type="dxa"/>
            <w:gridSpan w:val="2"/>
            <w:vAlign w:val="center"/>
          </w:tcPr>
          <w:p w:rsidR="000847B7" w:rsidRPr="00B33C90" w:rsidRDefault="000847B7" w:rsidP="001455DC">
            <w:pPr>
              <w:spacing w:line="320" w:lineRule="exact"/>
              <w:jc w:val="left"/>
              <w:rPr>
                <w:bCs/>
                <w:sz w:val="24"/>
                <w:szCs w:val="24"/>
              </w:rPr>
            </w:pPr>
            <w:r w:rsidRPr="00B33C90">
              <w:rPr>
                <w:rFonts w:hint="eastAsia"/>
                <w:bCs/>
                <w:sz w:val="24"/>
                <w:szCs w:val="24"/>
              </w:rPr>
              <w:softHyphen/>
            </w:r>
            <w:r w:rsidRPr="00B33C90">
              <w:rPr>
                <w:bCs/>
                <w:sz w:val="24"/>
                <w:szCs w:val="24"/>
              </w:rPr>
              <w:t>第五十四条</w:t>
            </w:r>
            <w:r w:rsidRPr="00B33C90">
              <w:rPr>
                <w:rFonts w:hint="eastAsia"/>
                <w:bCs/>
                <w:sz w:val="24"/>
                <w:szCs w:val="24"/>
              </w:rPr>
              <w:t>，</w:t>
            </w:r>
            <w:r w:rsidRPr="00B33C90">
              <w:rPr>
                <w:bCs/>
                <w:sz w:val="24"/>
                <w:szCs w:val="24"/>
              </w:rPr>
              <w:t>超高层建筑应按国家规范要求设置避难层，避难层的建筑面积按照其围护结构外围水平投影面积计算。避难层结构层高不大于该建筑标准层高的，其建筑面积不计</w:t>
            </w:r>
            <w:proofErr w:type="gramStart"/>
            <w:r w:rsidRPr="00B33C90">
              <w:rPr>
                <w:bCs/>
                <w:sz w:val="24"/>
                <w:szCs w:val="24"/>
              </w:rPr>
              <w:t>入计容</w:t>
            </w:r>
            <w:proofErr w:type="gramEnd"/>
            <w:r w:rsidRPr="00B33C90">
              <w:rPr>
                <w:bCs/>
                <w:sz w:val="24"/>
                <w:szCs w:val="24"/>
              </w:rPr>
              <w:t>建筑面积（楼梯间、电梯间、前室等空间除外）；</w:t>
            </w:r>
            <w:proofErr w:type="gramStart"/>
            <w:r w:rsidRPr="00B33C90">
              <w:rPr>
                <w:bCs/>
                <w:sz w:val="24"/>
                <w:szCs w:val="24"/>
              </w:rPr>
              <w:t>避难层兼作</w:t>
            </w:r>
            <w:proofErr w:type="gramEnd"/>
            <w:r w:rsidRPr="00B33C90">
              <w:rPr>
                <w:bCs/>
                <w:sz w:val="24"/>
                <w:szCs w:val="24"/>
              </w:rPr>
              <w:t>设备层的，其层高在该建筑标准层</w:t>
            </w:r>
            <w:proofErr w:type="gramStart"/>
            <w:r w:rsidRPr="00B33C90">
              <w:rPr>
                <w:bCs/>
                <w:sz w:val="24"/>
                <w:szCs w:val="24"/>
              </w:rPr>
              <w:t>高基础</w:t>
            </w:r>
            <w:proofErr w:type="gramEnd"/>
            <w:r w:rsidRPr="00B33C90">
              <w:rPr>
                <w:bCs/>
                <w:sz w:val="24"/>
                <w:szCs w:val="24"/>
              </w:rPr>
              <w:t>上增加不超过1.5米的，不计</w:t>
            </w:r>
            <w:proofErr w:type="gramStart"/>
            <w:r w:rsidRPr="00B33C90">
              <w:rPr>
                <w:bCs/>
                <w:sz w:val="24"/>
                <w:szCs w:val="24"/>
              </w:rPr>
              <w:t>入计容</w:t>
            </w:r>
            <w:proofErr w:type="gramEnd"/>
            <w:r w:rsidRPr="00B33C90">
              <w:rPr>
                <w:bCs/>
                <w:sz w:val="24"/>
                <w:szCs w:val="24"/>
              </w:rPr>
              <w:t>建筑面积。</w:t>
            </w:r>
          </w:p>
        </w:tc>
        <w:tc>
          <w:tcPr>
            <w:tcW w:w="1134" w:type="dxa"/>
            <w:vAlign w:val="center"/>
          </w:tcPr>
          <w:p w:rsidR="000847B7" w:rsidRPr="00B33C90" w:rsidRDefault="000847B7" w:rsidP="001455DC">
            <w:pPr>
              <w:jc w:val="cente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lastRenderedPageBreak/>
              <w:t>13</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vAlign w:val="center"/>
          </w:tcPr>
          <w:p w:rsidR="000847B7" w:rsidRPr="00B33C90" w:rsidRDefault="000847B7" w:rsidP="001455DC">
            <w:pPr>
              <w:spacing w:line="360" w:lineRule="exact"/>
              <w:rPr>
                <w:bCs/>
                <w:sz w:val="24"/>
                <w:szCs w:val="24"/>
              </w:rPr>
            </w:pPr>
            <w:r w:rsidRPr="00B33C90">
              <w:rPr>
                <w:rFonts w:hint="eastAsia"/>
                <w:sz w:val="24"/>
                <w:szCs w:val="24"/>
              </w:rPr>
              <w:t>第五十三条，</w:t>
            </w:r>
            <w:r>
              <w:rPr>
                <w:sz w:val="24"/>
                <w:szCs w:val="24"/>
              </w:rPr>
              <w:t>……</w:t>
            </w:r>
            <w:r w:rsidRPr="00B33C90">
              <w:rPr>
                <w:rFonts w:hint="eastAsia"/>
                <w:sz w:val="24"/>
                <w:szCs w:val="24"/>
              </w:rPr>
              <w:t>建筑正负零标高以…三面嵌入，其规划建筑</w:t>
            </w:r>
            <w:proofErr w:type="gramStart"/>
            <w:r w:rsidRPr="00B33C90">
              <w:rPr>
                <w:rFonts w:hint="eastAsia"/>
                <w:sz w:val="24"/>
                <w:szCs w:val="24"/>
              </w:rPr>
              <w:t>邻</w:t>
            </w:r>
            <w:proofErr w:type="gramEnd"/>
            <w:r w:rsidRPr="00B33C90">
              <w:rPr>
                <w:rFonts w:hint="eastAsia"/>
                <w:sz w:val="24"/>
                <w:szCs w:val="24"/>
              </w:rPr>
              <w:t>城市道路16m进深区域计入容积率。</w:t>
            </w:r>
          </w:p>
        </w:tc>
        <w:tc>
          <w:tcPr>
            <w:tcW w:w="5670" w:type="dxa"/>
          </w:tcPr>
          <w:p w:rsidR="000847B7" w:rsidRPr="00B33C90" w:rsidRDefault="000847B7" w:rsidP="001455DC">
            <w:pPr>
              <w:spacing w:line="360" w:lineRule="exact"/>
              <w:rPr>
                <w:bCs/>
                <w:sz w:val="24"/>
                <w:szCs w:val="24"/>
              </w:rPr>
            </w:pPr>
            <w:r w:rsidRPr="00B33C90">
              <w:rPr>
                <w:rFonts w:hint="eastAsia"/>
                <w:sz w:val="24"/>
                <w:szCs w:val="24"/>
              </w:rPr>
              <w:t>第五十六条，</w:t>
            </w:r>
            <w:r>
              <w:rPr>
                <w:sz w:val="24"/>
                <w:szCs w:val="24"/>
              </w:rPr>
              <w:t>……</w:t>
            </w:r>
            <w:r w:rsidRPr="00B33C90">
              <w:rPr>
                <w:rFonts w:hint="eastAsia"/>
                <w:sz w:val="24"/>
                <w:szCs w:val="24"/>
              </w:rPr>
              <w:t>建筑正负零标高…三面嵌入，</w:t>
            </w:r>
            <w:r w:rsidRPr="00B33C90">
              <w:rPr>
                <w:sz w:val="24"/>
                <w:szCs w:val="24"/>
              </w:rPr>
              <w:t>其规划建筑</w:t>
            </w:r>
            <w:proofErr w:type="gramStart"/>
            <w:r w:rsidRPr="00B33C90">
              <w:rPr>
                <w:sz w:val="24"/>
                <w:szCs w:val="24"/>
              </w:rPr>
              <w:t>邻</w:t>
            </w:r>
            <w:proofErr w:type="gramEnd"/>
            <w:r w:rsidRPr="00B33C90">
              <w:rPr>
                <w:sz w:val="24"/>
                <w:szCs w:val="24"/>
              </w:rPr>
              <w:t>城市道路12m</w:t>
            </w:r>
            <w:r w:rsidRPr="00B33C90">
              <w:rPr>
                <w:rFonts w:hint="eastAsia"/>
                <w:sz w:val="24"/>
                <w:szCs w:val="24"/>
              </w:rPr>
              <w:t>以内</w:t>
            </w:r>
            <w:r w:rsidRPr="00B33C90">
              <w:rPr>
                <w:sz w:val="24"/>
                <w:szCs w:val="24"/>
              </w:rPr>
              <w:t>进深区域计入容积率。</w:t>
            </w:r>
          </w:p>
        </w:tc>
        <w:tc>
          <w:tcPr>
            <w:tcW w:w="1134" w:type="dxa"/>
            <w:vAlign w:val="center"/>
          </w:tcPr>
          <w:p w:rsidR="000847B7" w:rsidRPr="00B33C90" w:rsidRDefault="000847B7" w:rsidP="001455DC">
            <w:pPr>
              <w:jc w:val="center"/>
              <w:rPr>
                <w:sz w:val="24"/>
                <w:szCs w:val="24"/>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14</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tcPr>
          <w:p w:rsidR="000847B7" w:rsidRPr="00B33C90" w:rsidRDefault="000847B7" w:rsidP="001455DC">
            <w:pPr>
              <w:spacing w:line="360" w:lineRule="exact"/>
              <w:rPr>
                <w:bCs/>
                <w:kern w:val="0"/>
                <w:sz w:val="24"/>
                <w:szCs w:val="24"/>
              </w:rPr>
            </w:pPr>
            <w:r w:rsidRPr="00B33C90">
              <w:rPr>
                <w:bCs/>
                <w:sz w:val="24"/>
                <w:szCs w:val="24"/>
              </w:rPr>
              <w:t>第</w:t>
            </w:r>
            <w:r w:rsidRPr="00B33C90">
              <w:rPr>
                <w:sz w:val="24"/>
                <w:szCs w:val="24"/>
              </w:rPr>
              <w:t>五十</w:t>
            </w:r>
            <w:r w:rsidRPr="00B33C90">
              <w:rPr>
                <w:bCs/>
                <w:sz w:val="24"/>
                <w:szCs w:val="24"/>
              </w:rPr>
              <w:t>六条</w:t>
            </w:r>
            <w:r w:rsidRPr="00B33C90">
              <w:rPr>
                <w:rFonts w:hint="eastAsia"/>
                <w:bCs/>
                <w:sz w:val="24"/>
                <w:szCs w:val="24"/>
              </w:rPr>
              <w:t>，</w:t>
            </w:r>
            <w:r w:rsidRPr="00B33C90">
              <w:rPr>
                <w:bCs/>
                <w:sz w:val="24"/>
                <w:szCs w:val="24"/>
              </w:rPr>
              <w:t>建筑屋顶造型应与建筑主体相协调。除满足消防等特殊要求外，鼓励采用屋顶绿化、坡屋顶等形式丰富建筑第五立面。高层住宅屋顶应结合功能优先采用退台、收分等造型变化，</w:t>
            </w:r>
            <w:proofErr w:type="gramStart"/>
            <w:r w:rsidRPr="00B33C90">
              <w:rPr>
                <w:sz w:val="24"/>
                <w:szCs w:val="24"/>
              </w:rPr>
              <w:t>临城市</w:t>
            </w:r>
            <w:proofErr w:type="gramEnd"/>
            <w:r w:rsidRPr="00B33C90">
              <w:rPr>
                <w:sz w:val="24"/>
                <w:szCs w:val="24"/>
              </w:rPr>
              <w:t>干道、公园、水体的住宅建筑外立面应采</w:t>
            </w:r>
            <w:r w:rsidRPr="00B33C90">
              <w:rPr>
                <w:bCs/>
                <w:sz w:val="24"/>
                <w:szCs w:val="24"/>
              </w:rPr>
              <w:t>用公共建筑外立面的做法进行设计和建造，阳台全封闭，对搁</w:t>
            </w:r>
            <w:r w:rsidRPr="00B33C90">
              <w:rPr>
                <w:sz w:val="24"/>
                <w:szCs w:val="24"/>
              </w:rPr>
              <w:t>板、空调室外机位及各类管线进行遮蔽处理。</w:t>
            </w:r>
          </w:p>
        </w:tc>
        <w:tc>
          <w:tcPr>
            <w:tcW w:w="5670" w:type="dxa"/>
          </w:tcPr>
          <w:p w:rsidR="000847B7" w:rsidRPr="00B33C90" w:rsidRDefault="000847B7" w:rsidP="001455DC">
            <w:pPr>
              <w:spacing w:line="360" w:lineRule="exact"/>
              <w:rPr>
                <w:bCs/>
                <w:kern w:val="0"/>
                <w:sz w:val="24"/>
                <w:szCs w:val="24"/>
              </w:rPr>
            </w:pPr>
            <w:r w:rsidRPr="00B33C90">
              <w:rPr>
                <w:bCs/>
                <w:sz w:val="24"/>
                <w:szCs w:val="24"/>
              </w:rPr>
              <w:t>第五十九条</w:t>
            </w:r>
            <w:r w:rsidRPr="00B33C90">
              <w:rPr>
                <w:rFonts w:hint="eastAsia"/>
                <w:bCs/>
                <w:sz w:val="24"/>
                <w:szCs w:val="24"/>
              </w:rPr>
              <w:t>，</w:t>
            </w:r>
            <w:r w:rsidRPr="00B33C90">
              <w:rPr>
                <w:bCs/>
                <w:sz w:val="24"/>
                <w:szCs w:val="24"/>
              </w:rPr>
              <w:t>建筑屋顶造型应与城市天际轮廓线、周边环境及建筑主体相协调。低、多层建筑采用坡屋顶形式；高层住宅屋顶应结合功能优先采用退台、收分等造型变化。</w:t>
            </w:r>
            <w:proofErr w:type="gramStart"/>
            <w:r w:rsidRPr="00B33C90">
              <w:rPr>
                <w:bCs/>
                <w:sz w:val="24"/>
                <w:szCs w:val="24"/>
              </w:rPr>
              <w:t>临城市</w:t>
            </w:r>
            <w:proofErr w:type="gramEnd"/>
            <w:r w:rsidRPr="00B33C90">
              <w:rPr>
                <w:bCs/>
                <w:sz w:val="24"/>
                <w:szCs w:val="24"/>
              </w:rPr>
              <w:t>主干道、大型广场、重要景观节点</w:t>
            </w:r>
            <w:r>
              <w:rPr>
                <w:rFonts w:hint="eastAsia"/>
                <w:bCs/>
                <w:sz w:val="24"/>
                <w:szCs w:val="24"/>
              </w:rPr>
              <w:t>、滨水空间</w:t>
            </w:r>
            <w:r w:rsidRPr="00B33C90">
              <w:rPr>
                <w:bCs/>
                <w:sz w:val="24"/>
                <w:szCs w:val="24"/>
              </w:rPr>
              <w:t>的居住建筑，其外立面应采用公共建筑造型，阳台宜封闭，并对搁板、空调室外机位及各类管线进行遮蔽美化处理。</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15</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新增</w:t>
            </w:r>
          </w:p>
        </w:tc>
        <w:tc>
          <w:tcPr>
            <w:tcW w:w="10847" w:type="dxa"/>
            <w:gridSpan w:val="2"/>
          </w:tcPr>
          <w:p w:rsidR="000847B7" w:rsidRPr="00B33C90" w:rsidRDefault="000847B7" w:rsidP="001455DC">
            <w:pPr>
              <w:spacing w:line="320" w:lineRule="exact"/>
              <w:rPr>
                <w:bCs/>
                <w:sz w:val="24"/>
                <w:szCs w:val="24"/>
              </w:rPr>
            </w:pPr>
            <w:r w:rsidRPr="00B33C90">
              <w:rPr>
                <w:bCs/>
                <w:sz w:val="24"/>
                <w:szCs w:val="24"/>
              </w:rPr>
              <w:t>第六十六条</w:t>
            </w:r>
            <w:r w:rsidRPr="00B33C90">
              <w:rPr>
                <w:rFonts w:hint="eastAsia"/>
                <w:bCs/>
                <w:sz w:val="24"/>
                <w:szCs w:val="24"/>
              </w:rPr>
              <w:t>，</w:t>
            </w:r>
            <w:r w:rsidRPr="00B33C90">
              <w:rPr>
                <w:bCs/>
                <w:sz w:val="24"/>
                <w:szCs w:val="24"/>
              </w:rPr>
              <w:t>城市森林花园建筑的规划设计按《巴中市城市规划管理技术规定（2020版）补充规定》、巴中市自然资源和规划局《关于进一步明确城市森林花园建筑试点有关事项的通知》（</w:t>
            </w:r>
            <w:proofErr w:type="gramStart"/>
            <w:r w:rsidRPr="00B33C90">
              <w:rPr>
                <w:bCs/>
                <w:sz w:val="24"/>
                <w:szCs w:val="24"/>
              </w:rPr>
              <w:t>巴自然资规</w:t>
            </w:r>
            <w:proofErr w:type="gramEnd"/>
            <w:r w:rsidRPr="00B33C90">
              <w:rPr>
                <w:bCs/>
                <w:sz w:val="24"/>
                <w:szCs w:val="24"/>
              </w:rPr>
              <w:t>发〔2023〕37号）执行</w:t>
            </w:r>
            <w:r w:rsidRPr="00B33C90">
              <w:rPr>
                <w:rFonts w:hint="eastAsia"/>
                <w:bCs/>
                <w:sz w:val="24"/>
                <w:szCs w:val="24"/>
              </w:rPr>
              <w:t>。（一）</w:t>
            </w:r>
            <w:r w:rsidRPr="00B33C90">
              <w:rPr>
                <w:bCs/>
                <w:sz w:val="24"/>
                <w:szCs w:val="24"/>
              </w:rPr>
              <w:t>城市森林花园建筑</w:t>
            </w:r>
            <w:r w:rsidRPr="00B33C90">
              <w:rPr>
                <w:rFonts w:hint="eastAsia"/>
                <w:bCs/>
                <w:sz w:val="24"/>
                <w:szCs w:val="24"/>
              </w:rPr>
              <w:t>的</w:t>
            </w:r>
            <w:r w:rsidRPr="00B33C90">
              <w:rPr>
                <w:bCs/>
                <w:sz w:val="24"/>
                <w:szCs w:val="24"/>
              </w:rPr>
              <w:t>套内</w:t>
            </w:r>
            <w:r w:rsidRPr="00B33C90">
              <w:rPr>
                <w:rFonts w:hint="eastAsia"/>
                <w:bCs/>
                <w:sz w:val="24"/>
                <w:szCs w:val="24"/>
              </w:rPr>
              <w:t>使用</w:t>
            </w:r>
            <w:r w:rsidRPr="00B33C90">
              <w:rPr>
                <w:bCs/>
                <w:sz w:val="24"/>
                <w:szCs w:val="24"/>
              </w:rPr>
              <w:t>面积不</w:t>
            </w:r>
            <w:r w:rsidRPr="00B33C90">
              <w:rPr>
                <w:rFonts w:hint="eastAsia"/>
                <w:bCs/>
                <w:sz w:val="24"/>
                <w:szCs w:val="24"/>
              </w:rPr>
              <w:t>得</w:t>
            </w:r>
            <w:r w:rsidRPr="00B33C90">
              <w:rPr>
                <w:bCs/>
                <w:sz w:val="24"/>
                <w:szCs w:val="24"/>
              </w:rPr>
              <w:t>小于80㎡。</w:t>
            </w:r>
            <w:r w:rsidRPr="00B33C90">
              <w:rPr>
                <w:rFonts w:hint="eastAsia"/>
                <w:bCs/>
                <w:sz w:val="24"/>
                <w:szCs w:val="24"/>
              </w:rPr>
              <w:t>（二）城市森林花园建筑应以建筑安全性设计为基本要素，充分考虑结构安全、消防安全、安全防护、种植安全、防坠落、防渗漏等内容。（三）城市森林花园建筑空中</w:t>
            </w:r>
            <w:proofErr w:type="gramStart"/>
            <w:r w:rsidRPr="00B33C90">
              <w:rPr>
                <w:rFonts w:hint="eastAsia"/>
                <w:bCs/>
                <w:sz w:val="24"/>
                <w:szCs w:val="24"/>
              </w:rPr>
              <w:t>花园外挑尺寸</w:t>
            </w:r>
            <w:proofErr w:type="gramEnd"/>
            <w:r w:rsidRPr="00B33C90">
              <w:rPr>
                <w:rFonts w:hint="eastAsia"/>
                <w:bCs/>
                <w:sz w:val="24"/>
                <w:szCs w:val="24"/>
              </w:rPr>
              <w:t>宜大于3米小于6米。空中花园</w:t>
            </w:r>
            <w:proofErr w:type="gramStart"/>
            <w:r w:rsidRPr="00B33C90">
              <w:rPr>
                <w:rFonts w:hint="eastAsia"/>
                <w:bCs/>
                <w:sz w:val="24"/>
                <w:szCs w:val="24"/>
              </w:rPr>
              <w:t>外挑宜</w:t>
            </w:r>
            <w:proofErr w:type="gramEnd"/>
            <w:r w:rsidRPr="00B33C90">
              <w:rPr>
                <w:rFonts w:hint="eastAsia"/>
                <w:bCs/>
                <w:sz w:val="24"/>
                <w:szCs w:val="24"/>
              </w:rPr>
              <w:t>采用变截面悬挑梁或变截面悬挑板结构，悬挑构件应深入主体结构一定长度并可靠连接，确保结构安全。（四）公共平台、空中花园的防水设计应符合《种植屋面工程技术规程》的相关规定。（五）公共平台、空中花园应沿外沿设置防护设施，防护高度、安全性能等应满足现行规范、标准的要求。（六）公共平台、空中花园绿化植物宜选择浅根系、病虫害少、含水多、易养护管理的本地植物，</w:t>
            </w:r>
            <w:proofErr w:type="gramStart"/>
            <w:r w:rsidRPr="00B33C90">
              <w:rPr>
                <w:rFonts w:hint="eastAsia"/>
                <w:bCs/>
                <w:sz w:val="24"/>
                <w:szCs w:val="24"/>
              </w:rPr>
              <w:t>不</w:t>
            </w:r>
            <w:proofErr w:type="gramEnd"/>
            <w:r w:rsidRPr="00B33C90">
              <w:rPr>
                <w:rFonts w:hint="eastAsia"/>
                <w:bCs/>
                <w:sz w:val="24"/>
                <w:szCs w:val="24"/>
              </w:rPr>
              <w:t>应选种大乔木或速生树种，</w:t>
            </w:r>
            <w:proofErr w:type="gramStart"/>
            <w:r w:rsidRPr="00B33C90">
              <w:rPr>
                <w:rFonts w:hint="eastAsia"/>
                <w:bCs/>
                <w:sz w:val="24"/>
                <w:szCs w:val="24"/>
              </w:rPr>
              <w:t>不</w:t>
            </w:r>
            <w:proofErr w:type="gramEnd"/>
            <w:r w:rsidRPr="00B33C90">
              <w:rPr>
                <w:rFonts w:hint="eastAsia"/>
                <w:bCs/>
                <w:sz w:val="24"/>
                <w:szCs w:val="24"/>
              </w:rPr>
              <w:t>配置有毒、有刺、有飞絮等易造成人员伤害的植物。（七）城市森林花园建筑的机动车地下停车位</w:t>
            </w:r>
            <w:r>
              <w:rPr>
                <w:rFonts w:hint="eastAsia"/>
                <w:bCs/>
                <w:sz w:val="24"/>
                <w:szCs w:val="24"/>
              </w:rPr>
              <w:t>配建</w:t>
            </w:r>
            <w:r w:rsidRPr="00B33C90">
              <w:rPr>
                <w:rFonts w:hint="eastAsia"/>
                <w:bCs/>
                <w:sz w:val="24"/>
                <w:szCs w:val="24"/>
              </w:rPr>
              <w:t>标准为不少于1个/100</w:t>
            </w:r>
            <w:r w:rsidRPr="00B33C90">
              <w:rPr>
                <w:bCs/>
                <w:sz w:val="24"/>
                <w:szCs w:val="24"/>
              </w:rPr>
              <w:t>㎡</w:t>
            </w:r>
            <w:proofErr w:type="gramStart"/>
            <w:r w:rsidRPr="00B33C90">
              <w:rPr>
                <w:rFonts w:hint="eastAsia"/>
                <w:bCs/>
                <w:sz w:val="24"/>
                <w:szCs w:val="24"/>
              </w:rPr>
              <w:t>计容建筑面积</w:t>
            </w:r>
            <w:proofErr w:type="gramEnd"/>
            <w:r w:rsidRPr="00B33C90">
              <w:rPr>
                <w:rFonts w:hint="eastAsia"/>
                <w:bCs/>
                <w:sz w:val="24"/>
                <w:szCs w:val="24"/>
              </w:rPr>
              <w:t>。</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16</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tcPr>
          <w:p w:rsidR="000847B7" w:rsidRPr="00B33C90" w:rsidRDefault="000847B7" w:rsidP="001455DC">
            <w:pPr>
              <w:spacing w:line="360" w:lineRule="exact"/>
              <w:rPr>
                <w:bCs/>
                <w:sz w:val="24"/>
                <w:szCs w:val="24"/>
              </w:rPr>
            </w:pPr>
            <w:r w:rsidRPr="00B33C90">
              <w:rPr>
                <w:rFonts w:hint="eastAsia"/>
                <w:bCs/>
                <w:sz w:val="24"/>
                <w:szCs w:val="24"/>
              </w:rPr>
              <w:t>第六十</w:t>
            </w:r>
            <w:r w:rsidRPr="00B33C90">
              <w:rPr>
                <w:rFonts w:hint="eastAsia"/>
                <w:sz w:val="24"/>
                <w:szCs w:val="24"/>
              </w:rPr>
              <w:t>五</w:t>
            </w:r>
            <w:r w:rsidRPr="00B33C90">
              <w:rPr>
                <w:rFonts w:hint="eastAsia"/>
                <w:bCs/>
                <w:sz w:val="24"/>
                <w:szCs w:val="24"/>
              </w:rPr>
              <w:t>条，</w:t>
            </w:r>
            <w:proofErr w:type="gramStart"/>
            <w:r w:rsidRPr="00B33C90">
              <w:rPr>
                <w:rFonts w:hint="eastAsia"/>
                <w:bCs/>
                <w:sz w:val="24"/>
                <w:szCs w:val="24"/>
              </w:rPr>
              <w:t>凸</w:t>
            </w:r>
            <w:proofErr w:type="gramEnd"/>
            <w:r w:rsidRPr="00B33C90">
              <w:rPr>
                <w:rFonts w:hint="eastAsia"/>
                <w:bCs/>
                <w:sz w:val="24"/>
                <w:szCs w:val="24"/>
              </w:rPr>
              <w:t>（飘）窗窗台与室内楼地面高差不得小于0.45m，且凸出外墙宽度不得大于0.6m</w:t>
            </w:r>
            <w:r w:rsidRPr="00B33C90">
              <w:rPr>
                <w:bCs/>
                <w:sz w:val="24"/>
                <w:szCs w:val="24"/>
              </w:rPr>
              <w:t>…</w:t>
            </w:r>
          </w:p>
        </w:tc>
        <w:tc>
          <w:tcPr>
            <w:tcW w:w="5670" w:type="dxa"/>
          </w:tcPr>
          <w:p w:rsidR="000847B7" w:rsidRPr="00B33C90" w:rsidRDefault="000847B7" w:rsidP="001455DC">
            <w:pPr>
              <w:spacing w:line="360" w:lineRule="exact"/>
              <w:rPr>
                <w:bCs/>
                <w:sz w:val="24"/>
                <w:szCs w:val="24"/>
              </w:rPr>
            </w:pPr>
            <w:r w:rsidRPr="00B33C90">
              <w:rPr>
                <w:rFonts w:hint="eastAsia"/>
                <w:bCs/>
                <w:sz w:val="24"/>
                <w:szCs w:val="24"/>
              </w:rPr>
              <w:t>第六十九条，</w:t>
            </w:r>
            <w:proofErr w:type="gramStart"/>
            <w:r w:rsidRPr="00B33C90">
              <w:rPr>
                <w:rFonts w:hint="eastAsia"/>
                <w:bCs/>
                <w:sz w:val="24"/>
                <w:szCs w:val="24"/>
              </w:rPr>
              <w:t>凸</w:t>
            </w:r>
            <w:proofErr w:type="gramEnd"/>
            <w:r w:rsidRPr="00B33C90">
              <w:rPr>
                <w:rFonts w:hint="eastAsia"/>
                <w:bCs/>
                <w:sz w:val="24"/>
                <w:szCs w:val="24"/>
              </w:rPr>
              <w:t>（飘）窗窗台与室内楼地面高差不得小于0.45m，且凸出外墙宽度不得大于0.8m</w:t>
            </w:r>
            <w:r w:rsidRPr="00B33C90">
              <w:rPr>
                <w:bCs/>
                <w:sz w:val="24"/>
                <w:szCs w:val="24"/>
              </w:rPr>
              <w:t>…</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lastRenderedPageBreak/>
              <w:t>17</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tcPr>
          <w:p w:rsidR="000847B7" w:rsidRPr="00B33C90" w:rsidRDefault="000847B7" w:rsidP="001455DC">
            <w:pPr>
              <w:spacing w:line="320" w:lineRule="exact"/>
              <w:rPr>
                <w:bCs/>
                <w:sz w:val="24"/>
                <w:szCs w:val="24"/>
              </w:rPr>
            </w:pPr>
            <w:r w:rsidRPr="00B33C90">
              <w:rPr>
                <w:rFonts w:hint="eastAsia"/>
                <w:bCs/>
                <w:sz w:val="24"/>
                <w:szCs w:val="24"/>
              </w:rPr>
              <w:t>第六十六条，除建筑入口雨篷外，建筑附属构件的进深不应大于0.8m</w:t>
            </w:r>
            <w:r w:rsidRPr="00B33C90">
              <w:rPr>
                <w:bCs/>
                <w:sz w:val="24"/>
                <w:szCs w:val="24"/>
              </w:rPr>
              <w:t>…</w:t>
            </w:r>
          </w:p>
        </w:tc>
        <w:tc>
          <w:tcPr>
            <w:tcW w:w="5670" w:type="dxa"/>
          </w:tcPr>
          <w:p w:rsidR="000847B7" w:rsidRPr="00B33C90" w:rsidRDefault="000847B7" w:rsidP="001455DC">
            <w:pPr>
              <w:spacing w:line="320" w:lineRule="exact"/>
              <w:rPr>
                <w:bCs/>
                <w:sz w:val="24"/>
                <w:szCs w:val="24"/>
              </w:rPr>
            </w:pPr>
            <w:r w:rsidRPr="00B33C90">
              <w:rPr>
                <w:rFonts w:hint="eastAsia"/>
                <w:bCs/>
                <w:sz w:val="24"/>
                <w:szCs w:val="24"/>
              </w:rPr>
              <w:t>第七十条，除建筑入口雨篷外，建筑附属构件的进深不应大于1.0m</w:t>
            </w:r>
            <w:r w:rsidRPr="00B33C90">
              <w:rPr>
                <w:bCs/>
                <w:sz w:val="24"/>
                <w:szCs w:val="24"/>
              </w:rPr>
              <w:t>…</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bCs/>
                <w:sz w:val="24"/>
                <w:szCs w:val="24"/>
              </w:rPr>
            </w:pPr>
            <w:r w:rsidRPr="00B33C90">
              <w:rPr>
                <w:rFonts w:hint="eastAsia"/>
                <w:bCs/>
                <w:sz w:val="24"/>
                <w:szCs w:val="24"/>
              </w:rPr>
              <w:t>18</w:t>
            </w:r>
          </w:p>
        </w:tc>
        <w:tc>
          <w:tcPr>
            <w:tcW w:w="926" w:type="dxa"/>
            <w:vAlign w:val="center"/>
          </w:tcPr>
          <w:p w:rsidR="000847B7" w:rsidRPr="00B33C90" w:rsidRDefault="000847B7" w:rsidP="001455DC">
            <w:pPr>
              <w:jc w:val="center"/>
              <w:rPr>
                <w:bCs/>
                <w:sz w:val="24"/>
                <w:szCs w:val="24"/>
              </w:rPr>
            </w:pPr>
            <w:r w:rsidRPr="00B33C90">
              <w:rPr>
                <w:rFonts w:hint="eastAsia"/>
                <w:bCs/>
                <w:sz w:val="24"/>
                <w:szCs w:val="24"/>
              </w:rPr>
              <w:t>修改</w:t>
            </w:r>
          </w:p>
        </w:tc>
        <w:tc>
          <w:tcPr>
            <w:tcW w:w="5177" w:type="dxa"/>
          </w:tcPr>
          <w:p w:rsidR="000847B7" w:rsidRPr="00B33C90" w:rsidRDefault="000847B7" w:rsidP="001455DC">
            <w:pPr>
              <w:spacing w:line="320" w:lineRule="exact"/>
              <w:rPr>
                <w:bCs/>
                <w:sz w:val="24"/>
                <w:szCs w:val="24"/>
              </w:rPr>
            </w:pPr>
            <w:r w:rsidRPr="00B33C90">
              <w:rPr>
                <w:bCs/>
                <w:sz w:val="24"/>
                <w:szCs w:val="24"/>
              </w:rPr>
              <w:t>第六十七条</w:t>
            </w:r>
            <w:r w:rsidRPr="00B33C90">
              <w:rPr>
                <w:rFonts w:hint="eastAsia"/>
                <w:bCs/>
                <w:sz w:val="24"/>
                <w:szCs w:val="24"/>
              </w:rPr>
              <w:t>第款，</w:t>
            </w:r>
            <w:r w:rsidRPr="00B33C90">
              <w:rPr>
                <w:bCs/>
                <w:sz w:val="24"/>
                <w:szCs w:val="24"/>
              </w:rPr>
              <w:t>（二）位于集中绿地下的地下室，其顶板覆土深度不小于1.5m。</w:t>
            </w:r>
          </w:p>
        </w:tc>
        <w:tc>
          <w:tcPr>
            <w:tcW w:w="5670" w:type="dxa"/>
          </w:tcPr>
          <w:p w:rsidR="000847B7" w:rsidRPr="00B33C90" w:rsidRDefault="000847B7" w:rsidP="001455DC">
            <w:pPr>
              <w:spacing w:line="320" w:lineRule="exact"/>
              <w:rPr>
                <w:bCs/>
                <w:sz w:val="24"/>
                <w:szCs w:val="24"/>
              </w:rPr>
            </w:pPr>
            <w:r w:rsidRPr="00B33C90">
              <w:rPr>
                <w:rFonts w:hint="eastAsia"/>
                <w:bCs/>
                <w:sz w:val="24"/>
                <w:szCs w:val="24"/>
              </w:rPr>
              <w:t>第七十一条第</w:t>
            </w:r>
            <w:r w:rsidRPr="00B33C90">
              <w:rPr>
                <w:bCs/>
                <w:sz w:val="24"/>
                <w:szCs w:val="24"/>
              </w:rPr>
              <w:t>（二）</w:t>
            </w:r>
            <w:r w:rsidRPr="00B33C90">
              <w:rPr>
                <w:rFonts w:hint="eastAsia"/>
                <w:bCs/>
                <w:sz w:val="24"/>
                <w:szCs w:val="24"/>
              </w:rPr>
              <w:t>款，</w:t>
            </w:r>
            <w:r w:rsidRPr="00B33C90">
              <w:rPr>
                <w:bCs/>
                <w:sz w:val="24"/>
                <w:szCs w:val="24"/>
              </w:rPr>
              <w:t>位于集中绿地下的地下室，其顶板覆土深度不小于1.2m。</w:t>
            </w:r>
          </w:p>
        </w:tc>
        <w:tc>
          <w:tcPr>
            <w:tcW w:w="1134" w:type="dxa"/>
          </w:tcPr>
          <w:p w:rsidR="000847B7" w:rsidRPr="00B33C90" w:rsidRDefault="000847B7" w:rsidP="001455DC">
            <w:pPr>
              <w:rPr>
                <w:bCs/>
                <w:sz w:val="24"/>
                <w:szCs w:val="24"/>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19</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vAlign w:val="center"/>
          </w:tcPr>
          <w:p w:rsidR="000847B7" w:rsidRPr="00B33C90" w:rsidRDefault="000847B7" w:rsidP="001455DC">
            <w:pPr>
              <w:spacing w:line="320" w:lineRule="exact"/>
              <w:rPr>
                <w:bCs/>
                <w:sz w:val="24"/>
                <w:szCs w:val="24"/>
              </w:rPr>
            </w:pPr>
            <w:r w:rsidRPr="00B33C90">
              <w:rPr>
                <w:bCs/>
                <w:sz w:val="24"/>
                <w:szCs w:val="24"/>
              </w:rPr>
              <w:t>第七十条</w:t>
            </w:r>
            <w:r w:rsidRPr="00B33C90">
              <w:rPr>
                <w:rFonts w:hint="eastAsia"/>
                <w:bCs/>
                <w:sz w:val="24"/>
                <w:szCs w:val="24"/>
              </w:rPr>
              <w:t>，</w:t>
            </w:r>
            <w:r w:rsidRPr="00B33C90">
              <w:rPr>
                <w:bCs/>
                <w:sz w:val="24"/>
                <w:szCs w:val="24"/>
              </w:rPr>
              <w:t>住宅小区项目须</w:t>
            </w:r>
            <w:proofErr w:type="gramStart"/>
            <w:r w:rsidRPr="00B33C90">
              <w:rPr>
                <w:bCs/>
                <w:sz w:val="24"/>
                <w:szCs w:val="24"/>
              </w:rPr>
              <w:t>按计容建筑面积</w:t>
            </w:r>
            <w:proofErr w:type="gramEnd"/>
            <w:r w:rsidRPr="00B33C90">
              <w:rPr>
                <w:bCs/>
                <w:sz w:val="24"/>
                <w:szCs w:val="24"/>
              </w:rPr>
              <w:t>的5</w:t>
            </w:r>
            <w:r w:rsidRPr="00B33C90">
              <w:rPr>
                <w:bCs/>
                <w:sz w:val="24"/>
                <w:szCs w:val="24"/>
              </w:rPr>
              <w:t>‰</w:t>
            </w:r>
            <w:r w:rsidRPr="00B33C90">
              <w:rPr>
                <w:bCs/>
                <w:sz w:val="24"/>
                <w:szCs w:val="24"/>
              </w:rPr>
              <w:t>同步规划、同步建设社区服务用房，用于满足老年人日间照料中心、阳光书屋等社区功能。</w:t>
            </w:r>
          </w:p>
        </w:tc>
        <w:tc>
          <w:tcPr>
            <w:tcW w:w="5670" w:type="dxa"/>
          </w:tcPr>
          <w:p w:rsidR="000847B7" w:rsidRPr="00B33C90" w:rsidRDefault="000847B7" w:rsidP="001455DC">
            <w:pPr>
              <w:spacing w:line="320" w:lineRule="exact"/>
              <w:rPr>
                <w:bCs/>
                <w:sz w:val="24"/>
                <w:szCs w:val="24"/>
              </w:rPr>
            </w:pPr>
            <w:r w:rsidRPr="00B33C90">
              <w:rPr>
                <w:bCs/>
                <w:sz w:val="24"/>
                <w:szCs w:val="24"/>
              </w:rPr>
              <w:t>第七十</w:t>
            </w:r>
            <w:r w:rsidRPr="00B33C90">
              <w:rPr>
                <w:rFonts w:hint="eastAsia"/>
                <w:bCs/>
                <w:sz w:val="24"/>
                <w:szCs w:val="24"/>
              </w:rPr>
              <w:t>四</w:t>
            </w:r>
            <w:r w:rsidRPr="00B33C90">
              <w:rPr>
                <w:bCs/>
                <w:sz w:val="24"/>
                <w:szCs w:val="24"/>
              </w:rPr>
              <w:t>条</w:t>
            </w:r>
            <w:r w:rsidRPr="00B33C90">
              <w:rPr>
                <w:rFonts w:hint="eastAsia"/>
                <w:bCs/>
                <w:sz w:val="24"/>
                <w:szCs w:val="24"/>
              </w:rPr>
              <w:t>，新建、改建</w:t>
            </w:r>
            <w:r w:rsidRPr="00B33C90">
              <w:rPr>
                <w:bCs/>
                <w:sz w:val="24"/>
                <w:szCs w:val="24"/>
              </w:rPr>
              <w:t>住宅小区项目须按</w:t>
            </w:r>
            <w:r w:rsidRPr="00B33C90">
              <w:rPr>
                <w:rFonts w:hint="eastAsia"/>
                <w:bCs/>
                <w:sz w:val="24"/>
                <w:szCs w:val="24"/>
              </w:rPr>
              <w:t>规范要求</w:t>
            </w:r>
            <w:r w:rsidRPr="00B33C90">
              <w:rPr>
                <w:bCs/>
                <w:sz w:val="24"/>
                <w:szCs w:val="24"/>
              </w:rPr>
              <w:t>同步规划、同步建设社区服务用房</w:t>
            </w:r>
            <w:r w:rsidRPr="006E1BB5">
              <w:rPr>
                <w:rFonts w:hint="eastAsia"/>
                <w:bCs/>
                <w:sz w:val="24"/>
                <w:szCs w:val="24"/>
              </w:rPr>
              <w:t>（不得设置在地下、半地下空间内）</w:t>
            </w:r>
            <w:r w:rsidRPr="00B33C90">
              <w:rPr>
                <w:bCs/>
                <w:sz w:val="24"/>
                <w:szCs w:val="24"/>
              </w:rPr>
              <w:t>，</w:t>
            </w:r>
            <w:r w:rsidRPr="00B33C90">
              <w:rPr>
                <w:rFonts w:hint="eastAsia"/>
                <w:bCs/>
                <w:sz w:val="24"/>
                <w:szCs w:val="24"/>
              </w:rPr>
              <w:t>主要用途为老年人日间照料、养老服务、阳光书屋等。</w:t>
            </w:r>
            <w:r w:rsidRPr="00B33C90">
              <w:rPr>
                <w:bCs/>
                <w:sz w:val="24"/>
                <w:szCs w:val="24"/>
              </w:rPr>
              <w:t>社区服务用房</w:t>
            </w:r>
            <w:r w:rsidRPr="00B33C90">
              <w:rPr>
                <w:rFonts w:hint="eastAsia"/>
                <w:bCs/>
                <w:sz w:val="24"/>
                <w:szCs w:val="24"/>
              </w:rPr>
              <w:t>为小区业主共同所有，由社会工作部门统一分配、管理。配建标准为：</w:t>
            </w:r>
            <w:proofErr w:type="gramStart"/>
            <w:r w:rsidRPr="00B33C90">
              <w:rPr>
                <w:rFonts w:hint="eastAsia"/>
                <w:bCs/>
                <w:sz w:val="24"/>
                <w:szCs w:val="24"/>
              </w:rPr>
              <w:t>计容建筑面积</w:t>
            </w:r>
            <w:proofErr w:type="gramEnd"/>
            <w:r w:rsidRPr="00B33C90">
              <w:rPr>
                <w:rFonts w:hint="eastAsia"/>
                <w:bCs/>
                <w:sz w:val="24"/>
                <w:szCs w:val="24"/>
              </w:rPr>
              <w:t>60000㎡以下的，社区服务用房建筑面积配建不少于300㎡；60000—100000㎡的，社区服务用房按5‰配建；100000㎡及以上的，按4‰配建，且不少于500㎡，不大于1500㎡。</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20</w:t>
            </w:r>
          </w:p>
        </w:tc>
        <w:tc>
          <w:tcPr>
            <w:tcW w:w="926" w:type="dxa"/>
            <w:vAlign w:val="center"/>
          </w:tcPr>
          <w:p w:rsidR="000847B7" w:rsidRPr="00B33C90" w:rsidRDefault="000847B7" w:rsidP="001455DC">
            <w:pPr>
              <w:jc w:val="center"/>
              <w:rPr>
                <w:rFonts w:ascii="Times New Roman"/>
                <w:sz w:val="24"/>
                <w:szCs w:val="24"/>
              </w:rPr>
            </w:pPr>
            <w:r w:rsidRPr="00B33C90">
              <w:rPr>
                <w:rFonts w:ascii="Times New Roman" w:hint="eastAsia"/>
                <w:sz w:val="24"/>
                <w:szCs w:val="24"/>
              </w:rPr>
              <w:t>修改</w:t>
            </w:r>
          </w:p>
        </w:tc>
        <w:tc>
          <w:tcPr>
            <w:tcW w:w="5177" w:type="dxa"/>
            <w:vAlign w:val="center"/>
          </w:tcPr>
          <w:p w:rsidR="000847B7" w:rsidRPr="00B33C90" w:rsidRDefault="000847B7" w:rsidP="001455DC">
            <w:pPr>
              <w:spacing w:line="320" w:lineRule="exact"/>
              <w:rPr>
                <w:bCs/>
                <w:sz w:val="24"/>
                <w:szCs w:val="24"/>
              </w:rPr>
            </w:pPr>
            <w:r w:rsidRPr="00B33C90">
              <w:rPr>
                <w:bCs/>
                <w:sz w:val="24"/>
                <w:szCs w:val="24"/>
              </w:rPr>
              <w:t>第七十二条</w:t>
            </w:r>
            <w:r w:rsidRPr="00B33C90">
              <w:rPr>
                <w:rFonts w:hint="eastAsia"/>
                <w:bCs/>
                <w:sz w:val="24"/>
                <w:szCs w:val="24"/>
              </w:rPr>
              <w:t>，</w:t>
            </w:r>
            <w:r w:rsidRPr="00B33C90">
              <w:rPr>
                <w:bCs/>
                <w:sz w:val="24"/>
                <w:szCs w:val="24"/>
              </w:rPr>
              <w:t>居住人口达到5000人及以上的开发项目应独立设置幼儿园，服务人口5000～9000人的不少于9个班，9001～12000人的配置12个班。明确为公办幼儿园或委托办成普惠性民办幼儿园的，其建筑面积不计入容积率。</w:t>
            </w:r>
          </w:p>
        </w:tc>
        <w:tc>
          <w:tcPr>
            <w:tcW w:w="5670" w:type="dxa"/>
          </w:tcPr>
          <w:p w:rsidR="000847B7" w:rsidRDefault="000847B7" w:rsidP="001455DC">
            <w:pPr>
              <w:spacing w:line="320" w:lineRule="exact"/>
              <w:rPr>
                <w:bCs/>
                <w:sz w:val="24"/>
                <w:szCs w:val="24"/>
              </w:rPr>
            </w:pPr>
            <w:r w:rsidRPr="00B33C90">
              <w:rPr>
                <w:bCs/>
                <w:sz w:val="24"/>
                <w:szCs w:val="24"/>
              </w:rPr>
              <w:t>第七十</w:t>
            </w:r>
            <w:r w:rsidRPr="00B33C90">
              <w:rPr>
                <w:rFonts w:hint="eastAsia"/>
                <w:bCs/>
                <w:sz w:val="24"/>
                <w:szCs w:val="24"/>
              </w:rPr>
              <w:t>六</w:t>
            </w:r>
            <w:r w:rsidRPr="00B33C90">
              <w:rPr>
                <w:bCs/>
                <w:sz w:val="24"/>
                <w:szCs w:val="24"/>
              </w:rPr>
              <w:t>条</w:t>
            </w:r>
            <w:r w:rsidRPr="00B33C90">
              <w:rPr>
                <w:rFonts w:hint="eastAsia"/>
                <w:bCs/>
                <w:sz w:val="24"/>
                <w:szCs w:val="24"/>
              </w:rPr>
              <w:t>，</w:t>
            </w:r>
            <w:r w:rsidRPr="006E1BB5">
              <w:rPr>
                <w:bCs/>
                <w:sz w:val="24"/>
                <w:szCs w:val="24"/>
              </w:rPr>
              <w:t>新建住宅小区</w:t>
            </w:r>
            <w:r w:rsidRPr="006E1BB5">
              <w:rPr>
                <w:rFonts w:hint="eastAsia"/>
                <w:bCs/>
                <w:sz w:val="24"/>
                <w:szCs w:val="24"/>
              </w:rPr>
              <w:t>居住建筑面积达到100000㎡</w:t>
            </w:r>
            <w:r w:rsidRPr="006E1BB5">
              <w:rPr>
                <w:bCs/>
                <w:sz w:val="24"/>
                <w:szCs w:val="24"/>
              </w:rPr>
              <w:t>及以上的，</w:t>
            </w:r>
            <w:r w:rsidRPr="006E1BB5">
              <w:rPr>
                <w:rFonts w:hint="eastAsia"/>
                <w:bCs/>
                <w:sz w:val="24"/>
                <w:szCs w:val="24"/>
              </w:rPr>
              <w:t>应</w:t>
            </w:r>
            <w:r w:rsidRPr="006E1BB5">
              <w:rPr>
                <w:bCs/>
                <w:sz w:val="24"/>
                <w:szCs w:val="24"/>
              </w:rPr>
              <w:t>按《城市居住区规划设计标准GB50180</w:t>
            </w:r>
            <w:r w:rsidRPr="006E1BB5">
              <w:rPr>
                <w:bCs/>
                <w:sz w:val="24"/>
                <w:szCs w:val="24"/>
              </w:rPr>
              <w:t>—</w:t>
            </w:r>
            <w:r w:rsidRPr="006E1BB5">
              <w:rPr>
                <w:bCs/>
                <w:sz w:val="24"/>
                <w:szCs w:val="24"/>
              </w:rPr>
              <w:t>2018》配建幼儿园</w:t>
            </w:r>
            <w:r w:rsidRPr="006E1BB5">
              <w:rPr>
                <w:rFonts w:hint="eastAsia"/>
                <w:bCs/>
                <w:sz w:val="24"/>
                <w:szCs w:val="24"/>
              </w:rPr>
              <w:t>。（一）</w:t>
            </w:r>
            <w:r w:rsidRPr="006E1BB5">
              <w:rPr>
                <w:bCs/>
                <w:sz w:val="24"/>
                <w:szCs w:val="24"/>
              </w:rPr>
              <w:t>根据小区居住人口</w:t>
            </w:r>
            <w:r w:rsidRPr="006E1BB5">
              <w:rPr>
                <w:rFonts w:hint="eastAsia"/>
                <w:bCs/>
                <w:sz w:val="24"/>
                <w:szCs w:val="24"/>
              </w:rPr>
              <w:t>、片区教育布点规划及</w:t>
            </w:r>
            <w:r w:rsidRPr="006E1BB5">
              <w:rPr>
                <w:bCs/>
                <w:sz w:val="24"/>
                <w:szCs w:val="24"/>
              </w:rPr>
              <w:t>周边</w:t>
            </w:r>
            <w:r w:rsidRPr="006E1BB5">
              <w:rPr>
                <w:rFonts w:hint="eastAsia"/>
                <w:bCs/>
                <w:sz w:val="24"/>
                <w:szCs w:val="24"/>
              </w:rPr>
              <w:t>区域已</w:t>
            </w:r>
            <w:r w:rsidRPr="006E1BB5">
              <w:rPr>
                <w:bCs/>
                <w:sz w:val="24"/>
                <w:szCs w:val="24"/>
              </w:rPr>
              <w:t>配建</w:t>
            </w:r>
            <w:r w:rsidRPr="006E1BB5">
              <w:rPr>
                <w:rFonts w:hint="eastAsia"/>
                <w:bCs/>
                <w:sz w:val="24"/>
                <w:szCs w:val="24"/>
              </w:rPr>
              <w:t>幼儿园服务半径科学选址，确定</w:t>
            </w:r>
            <w:r w:rsidRPr="006E1BB5">
              <w:rPr>
                <w:bCs/>
                <w:sz w:val="24"/>
                <w:szCs w:val="24"/>
              </w:rPr>
              <w:t>办</w:t>
            </w:r>
            <w:proofErr w:type="gramStart"/>
            <w:r w:rsidRPr="006E1BB5">
              <w:rPr>
                <w:bCs/>
                <w:sz w:val="24"/>
                <w:szCs w:val="24"/>
              </w:rPr>
              <w:t>园规</w:t>
            </w:r>
            <w:proofErr w:type="gramEnd"/>
            <w:r w:rsidRPr="006E1BB5">
              <w:rPr>
                <w:bCs/>
                <w:sz w:val="24"/>
                <w:szCs w:val="24"/>
              </w:rPr>
              <w:t>模和班次。</w:t>
            </w:r>
            <w:r w:rsidRPr="006E1BB5">
              <w:rPr>
                <w:rFonts w:hint="eastAsia"/>
                <w:bCs/>
                <w:sz w:val="24"/>
                <w:szCs w:val="24"/>
              </w:rPr>
              <w:t>（二）规划条件中</w:t>
            </w:r>
            <w:proofErr w:type="gramStart"/>
            <w:r w:rsidRPr="006E1BB5">
              <w:rPr>
                <w:rFonts w:hint="eastAsia"/>
                <w:bCs/>
                <w:sz w:val="24"/>
                <w:szCs w:val="24"/>
              </w:rPr>
              <w:t>明确需独立</w:t>
            </w:r>
            <w:proofErr w:type="gramEnd"/>
            <w:r w:rsidRPr="006E1BB5">
              <w:rPr>
                <w:rFonts w:hint="eastAsia"/>
                <w:bCs/>
                <w:sz w:val="24"/>
                <w:szCs w:val="24"/>
              </w:rPr>
              <w:t>占地配建的幼儿园建筑，可按其建筑基底面积的50%计算建筑密度，但不得降低绿地率，且符合消防间距、建筑退让、建筑间距等要求。（三）符合城镇小区配套幼儿园建设有关规定并明确为移交政府举办公办幼儿园或委托办成普惠性民办幼儿园的，其建筑面积不计入容积率，由教育部门统一管理。</w:t>
            </w:r>
          </w:p>
          <w:p w:rsidR="000847B7" w:rsidRPr="006E1BB5" w:rsidRDefault="000847B7" w:rsidP="001455DC">
            <w:pPr>
              <w:spacing w:line="320" w:lineRule="exact"/>
              <w:rPr>
                <w:bCs/>
                <w:sz w:val="24"/>
                <w:szCs w:val="24"/>
              </w:rPr>
            </w:pP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rFonts w:ascii="Times New Roman"/>
                <w:sz w:val="24"/>
                <w:szCs w:val="24"/>
              </w:rPr>
            </w:pPr>
            <w:r>
              <w:rPr>
                <w:rFonts w:ascii="Times New Roman" w:hint="eastAsia"/>
                <w:sz w:val="24"/>
                <w:szCs w:val="24"/>
              </w:rPr>
              <w:lastRenderedPageBreak/>
              <w:t>21</w:t>
            </w:r>
          </w:p>
        </w:tc>
        <w:tc>
          <w:tcPr>
            <w:tcW w:w="926" w:type="dxa"/>
            <w:vAlign w:val="center"/>
          </w:tcPr>
          <w:p w:rsidR="000847B7" w:rsidRPr="00B33C90" w:rsidRDefault="000847B7" w:rsidP="001455DC">
            <w:pPr>
              <w:jc w:val="center"/>
              <w:rPr>
                <w:rFonts w:ascii="Times New Roman"/>
                <w:sz w:val="24"/>
                <w:szCs w:val="24"/>
              </w:rPr>
            </w:pPr>
            <w:r>
              <w:rPr>
                <w:rFonts w:ascii="Times New Roman" w:hint="eastAsia"/>
                <w:sz w:val="24"/>
                <w:szCs w:val="24"/>
              </w:rPr>
              <w:t>修改</w:t>
            </w:r>
          </w:p>
        </w:tc>
        <w:tc>
          <w:tcPr>
            <w:tcW w:w="5177" w:type="dxa"/>
            <w:vAlign w:val="center"/>
          </w:tcPr>
          <w:p w:rsidR="000847B7" w:rsidRPr="00B33C90" w:rsidRDefault="000847B7" w:rsidP="001455DC">
            <w:pPr>
              <w:spacing w:line="320" w:lineRule="exact"/>
              <w:rPr>
                <w:bCs/>
                <w:sz w:val="24"/>
                <w:szCs w:val="24"/>
              </w:rPr>
            </w:pPr>
            <w:r>
              <w:rPr>
                <w:rFonts w:hint="eastAsia"/>
                <w:bCs/>
                <w:sz w:val="24"/>
                <w:szCs w:val="24"/>
              </w:rPr>
              <w:t>第七十五条，</w:t>
            </w:r>
            <w:r w:rsidRPr="006E1BB5">
              <w:rPr>
                <w:rFonts w:hint="eastAsia"/>
                <w:bCs/>
                <w:sz w:val="24"/>
                <w:szCs w:val="24"/>
              </w:rPr>
              <w:t>居住建筑面积不大于30000㎡的建设项目，应配建全民健身活动场地一处，并配置相应的健身活动设施，其中旧城区用地面积不小于150㎡，新区用地面积不小于200㎡</w:t>
            </w:r>
            <w:r>
              <w:rPr>
                <w:rFonts w:hint="eastAsia"/>
                <w:b/>
                <w:bCs/>
                <w:sz w:val="24"/>
                <w:szCs w:val="24"/>
              </w:rPr>
              <w:t>，</w:t>
            </w:r>
            <w:r w:rsidRPr="006E1BB5">
              <w:rPr>
                <w:rFonts w:hint="eastAsia"/>
                <w:bCs/>
                <w:sz w:val="24"/>
                <w:szCs w:val="24"/>
              </w:rPr>
              <w:t>居住建筑面积大于30000㎡的，其用地面积按比例递增。</w:t>
            </w:r>
          </w:p>
        </w:tc>
        <w:tc>
          <w:tcPr>
            <w:tcW w:w="5670" w:type="dxa"/>
          </w:tcPr>
          <w:p w:rsidR="000847B7" w:rsidRPr="006E1BB5" w:rsidRDefault="000847B7" w:rsidP="001455DC">
            <w:pPr>
              <w:spacing w:line="320" w:lineRule="exact"/>
              <w:rPr>
                <w:bCs/>
                <w:sz w:val="24"/>
                <w:szCs w:val="24"/>
              </w:rPr>
            </w:pPr>
            <w:r w:rsidRPr="008B17AC">
              <w:rPr>
                <w:rFonts w:hint="eastAsia"/>
                <w:bCs/>
                <w:sz w:val="24"/>
                <w:szCs w:val="24"/>
              </w:rPr>
              <w:t>第七十九条，</w:t>
            </w:r>
            <w:r w:rsidRPr="006E1BB5">
              <w:rPr>
                <w:rFonts w:hint="eastAsia"/>
                <w:bCs/>
                <w:sz w:val="24"/>
                <w:szCs w:val="24"/>
              </w:rPr>
              <w:t>居住建筑面积不大于30000㎡的建设项目，应配建全民健身活动场地一处，并配置相应的健身活动设施，其中旧城区用地面积不小于150㎡，新区用地面积不小于200㎡，且场地最窄处不小于8m；居住建筑面积大于30000㎡的，其用地面积按比例递增。</w:t>
            </w:r>
          </w:p>
        </w:tc>
        <w:tc>
          <w:tcPr>
            <w:tcW w:w="1134" w:type="dxa"/>
          </w:tcPr>
          <w:p w:rsidR="000847B7" w:rsidRPr="00B33C90" w:rsidRDefault="000847B7" w:rsidP="001455DC">
            <w:pPr>
              <w:rPr>
                <w:sz w:val="28"/>
                <w:szCs w:val="28"/>
              </w:rPr>
            </w:pPr>
          </w:p>
        </w:tc>
      </w:tr>
      <w:tr w:rsidR="000847B7" w:rsidRPr="00B33C90" w:rsidTr="001455DC">
        <w:trPr>
          <w:jc w:val="center"/>
        </w:trPr>
        <w:tc>
          <w:tcPr>
            <w:tcW w:w="851" w:type="dxa"/>
            <w:vAlign w:val="center"/>
          </w:tcPr>
          <w:p w:rsidR="000847B7" w:rsidRPr="00B33C90" w:rsidRDefault="000847B7" w:rsidP="001455DC">
            <w:pPr>
              <w:jc w:val="center"/>
              <w:rPr>
                <w:bCs/>
                <w:sz w:val="24"/>
                <w:szCs w:val="24"/>
              </w:rPr>
            </w:pPr>
            <w:r w:rsidRPr="00B33C90">
              <w:rPr>
                <w:rFonts w:hint="eastAsia"/>
                <w:bCs/>
                <w:sz w:val="24"/>
                <w:szCs w:val="24"/>
              </w:rPr>
              <w:t>2</w:t>
            </w:r>
            <w:r>
              <w:rPr>
                <w:rFonts w:hint="eastAsia"/>
                <w:bCs/>
                <w:sz w:val="24"/>
                <w:szCs w:val="24"/>
              </w:rPr>
              <w:t>2</w:t>
            </w:r>
          </w:p>
        </w:tc>
        <w:tc>
          <w:tcPr>
            <w:tcW w:w="926" w:type="dxa"/>
            <w:vAlign w:val="center"/>
          </w:tcPr>
          <w:p w:rsidR="000847B7" w:rsidRPr="00B33C90" w:rsidRDefault="000847B7" w:rsidP="001455DC">
            <w:pPr>
              <w:jc w:val="center"/>
              <w:rPr>
                <w:bCs/>
                <w:sz w:val="24"/>
                <w:szCs w:val="24"/>
              </w:rPr>
            </w:pPr>
            <w:r w:rsidRPr="00B33C90">
              <w:rPr>
                <w:rFonts w:hint="eastAsia"/>
                <w:bCs/>
                <w:sz w:val="24"/>
                <w:szCs w:val="24"/>
              </w:rPr>
              <w:t>修改</w:t>
            </w:r>
          </w:p>
        </w:tc>
        <w:tc>
          <w:tcPr>
            <w:tcW w:w="5177" w:type="dxa"/>
            <w:vAlign w:val="center"/>
          </w:tcPr>
          <w:p w:rsidR="000847B7" w:rsidRPr="006E1BB5" w:rsidRDefault="000847B7" w:rsidP="001455DC">
            <w:pPr>
              <w:spacing w:line="320" w:lineRule="exact"/>
              <w:rPr>
                <w:bCs/>
                <w:sz w:val="24"/>
                <w:szCs w:val="24"/>
              </w:rPr>
            </w:pPr>
            <w:r w:rsidRPr="006E1BB5">
              <w:rPr>
                <w:rFonts w:hint="eastAsia"/>
                <w:sz w:val="24"/>
                <w:szCs w:val="24"/>
              </w:rPr>
              <w:t>第八十条，（四）居住建筑充电桩的配建比例不小于总停车泊位数的10%，商业及公共建筑等停车位充电桩的配建比例不小于总停车位的20%，且充电</w:t>
            </w:r>
            <w:proofErr w:type="gramStart"/>
            <w:r w:rsidRPr="006E1BB5">
              <w:rPr>
                <w:rFonts w:hint="eastAsia"/>
                <w:sz w:val="24"/>
                <w:szCs w:val="24"/>
              </w:rPr>
              <w:t>桩不得</w:t>
            </w:r>
            <w:proofErr w:type="gramEnd"/>
            <w:r w:rsidRPr="006E1BB5">
              <w:rPr>
                <w:rFonts w:hint="eastAsia"/>
                <w:sz w:val="24"/>
                <w:szCs w:val="24"/>
              </w:rPr>
              <w:t>分割出售。独立商业区可设置机械式停车位，其数量不大于应配停车总泊位数的30%。可探索通过专项论证和设计实现商业停车位于住宅停车位有偿错峰共享。</w:t>
            </w:r>
          </w:p>
        </w:tc>
        <w:tc>
          <w:tcPr>
            <w:tcW w:w="5670" w:type="dxa"/>
          </w:tcPr>
          <w:p w:rsidR="000847B7" w:rsidRPr="006E1BB5" w:rsidRDefault="000847B7" w:rsidP="001455DC">
            <w:pPr>
              <w:spacing w:line="320" w:lineRule="exact"/>
              <w:rPr>
                <w:bCs/>
                <w:sz w:val="24"/>
                <w:szCs w:val="24"/>
              </w:rPr>
            </w:pPr>
            <w:r w:rsidRPr="000B7502">
              <w:rPr>
                <w:rFonts w:hint="eastAsia"/>
                <w:kern w:val="0"/>
                <w:sz w:val="24"/>
                <w:szCs w:val="24"/>
              </w:rPr>
              <w:t>第八十条，</w:t>
            </w:r>
            <w:r w:rsidRPr="000B7502">
              <w:rPr>
                <w:rFonts w:hint="eastAsia"/>
                <w:sz w:val="24"/>
                <w:szCs w:val="24"/>
              </w:rPr>
              <w:t>（四）居住建筑充电桩的配建比例不小于总停车泊位数的10%，商业及公共建筑等停车位充电桩的配建比例不小于总停车位的20%，且充电</w:t>
            </w:r>
            <w:proofErr w:type="gramStart"/>
            <w:r w:rsidRPr="000B7502">
              <w:rPr>
                <w:rFonts w:hint="eastAsia"/>
                <w:sz w:val="24"/>
                <w:szCs w:val="24"/>
              </w:rPr>
              <w:t>桩不得</w:t>
            </w:r>
            <w:proofErr w:type="gramEnd"/>
            <w:r w:rsidRPr="000B7502">
              <w:rPr>
                <w:rFonts w:hint="eastAsia"/>
                <w:sz w:val="24"/>
                <w:szCs w:val="24"/>
              </w:rPr>
              <w:t>分割出售。独立商业区可设置机械式停车位，其数量不大于应配停车总泊位数的30%。经开发企业申请并承诺商业地下停车位不分割出售、与住宅车位统一管理、保障商业和住宅错峰停车的前提下，商业地下车位可计入住宅地下停车位。</w:t>
            </w:r>
          </w:p>
        </w:tc>
        <w:tc>
          <w:tcPr>
            <w:tcW w:w="1134" w:type="dxa"/>
          </w:tcPr>
          <w:p w:rsidR="000847B7" w:rsidRPr="00B33C90" w:rsidRDefault="000847B7" w:rsidP="001455DC">
            <w:pPr>
              <w:rPr>
                <w:bCs/>
                <w:sz w:val="24"/>
                <w:szCs w:val="24"/>
              </w:rPr>
            </w:pPr>
          </w:p>
        </w:tc>
      </w:tr>
      <w:tr w:rsidR="000847B7" w:rsidRPr="00B33C90" w:rsidTr="001455DC">
        <w:trPr>
          <w:jc w:val="center"/>
        </w:trPr>
        <w:tc>
          <w:tcPr>
            <w:tcW w:w="851" w:type="dxa"/>
            <w:vAlign w:val="center"/>
          </w:tcPr>
          <w:p w:rsidR="000847B7" w:rsidRPr="00B33C90" w:rsidRDefault="000847B7" w:rsidP="001455DC">
            <w:pPr>
              <w:jc w:val="center"/>
              <w:rPr>
                <w:bCs/>
                <w:sz w:val="24"/>
                <w:szCs w:val="24"/>
              </w:rPr>
            </w:pPr>
            <w:r w:rsidRPr="00B33C90">
              <w:rPr>
                <w:rFonts w:hint="eastAsia"/>
                <w:bCs/>
                <w:sz w:val="24"/>
                <w:szCs w:val="24"/>
              </w:rPr>
              <w:t>2</w:t>
            </w:r>
            <w:r>
              <w:rPr>
                <w:rFonts w:hint="eastAsia"/>
                <w:bCs/>
                <w:sz w:val="24"/>
                <w:szCs w:val="24"/>
              </w:rPr>
              <w:t>3</w:t>
            </w:r>
          </w:p>
        </w:tc>
        <w:tc>
          <w:tcPr>
            <w:tcW w:w="926" w:type="dxa"/>
            <w:vAlign w:val="center"/>
          </w:tcPr>
          <w:p w:rsidR="000847B7" w:rsidRPr="00B33C90" w:rsidRDefault="000847B7" w:rsidP="001455DC">
            <w:pPr>
              <w:jc w:val="center"/>
              <w:rPr>
                <w:bCs/>
                <w:sz w:val="24"/>
                <w:szCs w:val="24"/>
              </w:rPr>
            </w:pPr>
            <w:r w:rsidRPr="00B33C90">
              <w:rPr>
                <w:rFonts w:hint="eastAsia"/>
                <w:bCs/>
                <w:sz w:val="24"/>
                <w:szCs w:val="24"/>
              </w:rPr>
              <w:t>修改</w:t>
            </w:r>
          </w:p>
        </w:tc>
        <w:tc>
          <w:tcPr>
            <w:tcW w:w="5177" w:type="dxa"/>
            <w:vAlign w:val="center"/>
          </w:tcPr>
          <w:p w:rsidR="000847B7" w:rsidRPr="00B33C90" w:rsidRDefault="000847B7" w:rsidP="001455DC">
            <w:pPr>
              <w:spacing w:line="320" w:lineRule="exact"/>
              <w:rPr>
                <w:bCs/>
                <w:sz w:val="24"/>
                <w:szCs w:val="24"/>
              </w:rPr>
            </w:pPr>
            <w:r w:rsidRPr="00B33C90">
              <w:rPr>
                <w:rFonts w:hint="eastAsia"/>
                <w:bCs/>
                <w:sz w:val="24"/>
                <w:szCs w:val="24"/>
              </w:rPr>
              <w:t>第七十六条附表，</w:t>
            </w:r>
            <w:r w:rsidRPr="00B33C90">
              <w:rPr>
                <w:bCs/>
                <w:sz w:val="24"/>
                <w:szCs w:val="24"/>
              </w:rPr>
              <w:t>非生产性工业用地</w:t>
            </w:r>
            <w:r w:rsidRPr="00B33C90">
              <w:rPr>
                <w:rFonts w:hint="eastAsia"/>
                <w:bCs/>
                <w:sz w:val="24"/>
                <w:szCs w:val="24"/>
              </w:rPr>
              <w:t>机动车地下停车位配建比例为100</w:t>
            </w:r>
            <w:r w:rsidRPr="00B33C90">
              <w:rPr>
                <w:bCs/>
                <w:sz w:val="24"/>
                <w:szCs w:val="24"/>
              </w:rPr>
              <w:t>㎡</w:t>
            </w:r>
            <w:proofErr w:type="gramStart"/>
            <w:r w:rsidRPr="00B33C90">
              <w:rPr>
                <w:rFonts w:hint="eastAsia"/>
                <w:bCs/>
                <w:sz w:val="24"/>
                <w:szCs w:val="24"/>
              </w:rPr>
              <w:t>计容建筑面积</w:t>
            </w:r>
            <w:proofErr w:type="gramEnd"/>
            <w:r w:rsidRPr="00B33C90">
              <w:rPr>
                <w:rFonts w:hint="eastAsia"/>
                <w:bCs/>
                <w:sz w:val="24"/>
                <w:szCs w:val="24"/>
              </w:rPr>
              <w:t>配建不少于0.6个</w:t>
            </w:r>
          </w:p>
        </w:tc>
        <w:tc>
          <w:tcPr>
            <w:tcW w:w="5670" w:type="dxa"/>
          </w:tcPr>
          <w:p w:rsidR="000847B7" w:rsidRPr="00B33C90" w:rsidRDefault="000847B7" w:rsidP="001455DC">
            <w:pPr>
              <w:spacing w:line="320" w:lineRule="exact"/>
              <w:rPr>
                <w:bCs/>
                <w:sz w:val="24"/>
                <w:szCs w:val="24"/>
              </w:rPr>
            </w:pPr>
            <w:r w:rsidRPr="00B33C90">
              <w:rPr>
                <w:rFonts w:hint="eastAsia"/>
                <w:bCs/>
                <w:sz w:val="24"/>
                <w:szCs w:val="24"/>
              </w:rPr>
              <w:t>删除第七十六条附表中配建标准要求，增加：注5.工业用地停车位配建标准应根据产业类别、工艺流程、生产规模、配套需要等确定，在项目设计方案中明确，配建标准不少于0.2个/100㎡</w:t>
            </w:r>
            <w:proofErr w:type="gramStart"/>
            <w:r w:rsidRPr="00B33C90">
              <w:rPr>
                <w:rFonts w:hint="eastAsia"/>
                <w:bCs/>
                <w:sz w:val="24"/>
                <w:szCs w:val="24"/>
              </w:rPr>
              <w:t>计容建筑面积</w:t>
            </w:r>
            <w:proofErr w:type="gramEnd"/>
            <w:r w:rsidRPr="00F65E15">
              <w:rPr>
                <w:rFonts w:hint="eastAsia"/>
                <w:bCs/>
                <w:sz w:val="24"/>
                <w:szCs w:val="24"/>
              </w:rPr>
              <w:t>（配套功能中</w:t>
            </w:r>
            <w:proofErr w:type="gramStart"/>
            <w:r w:rsidRPr="00F65E15">
              <w:rPr>
                <w:rFonts w:hint="eastAsia"/>
                <w:bCs/>
                <w:sz w:val="24"/>
                <w:szCs w:val="24"/>
              </w:rPr>
              <w:t>含行政</w:t>
            </w:r>
            <w:proofErr w:type="gramEnd"/>
            <w:r w:rsidRPr="00F65E15">
              <w:rPr>
                <w:rFonts w:hint="eastAsia"/>
                <w:bCs/>
                <w:sz w:val="24"/>
                <w:szCs w:val="24"/>
              </w:rPr>
              <w:t>办公、宿舍及其他公共服务功能的除外）。</w:t>
            </w:r>
            <w:r w:rsidRPr="00B33C90">
              <w:rPr>
                <w:rFonts w:hint="eastAsia"/>
                <w:bCs/>
                <w:sz w:val="24"/>
                <w:szCs w:val="24"/>
              </w:rPr>
              <w:t>特殊工业项目可结合实际情况一事一议研究确定。</w:t>
            </w:r>
          </w:p>
        </w:tc>
        <w:tc>
          <w:tcPr>
            <w:tcW w:w="1134" w:type="dxa"/>
          </w:tcPr>
          <w:p w:rsidR="000847B7" w:rsidRPr="00B33C90" w:rsidRDefault="000847B7" w:rsidP="001455DC">
            <w:pPr>
              <w:rPr>
                <w:bCs/>
                <w:sz w:val="24"/>
                <w:szCs w:val="24"/>
              </w:rPr>
            </w:pPr>
          </w:p>
        </w:tc>
      </w:tr>
      <w:tr w:rsidR="000847B7" w:rsidRPr="00B33C90" w:rsidTr="001455DC">
        <w:trPr>
          <w:jc w:val="center"/>
        </w:trPr>
        <w:tc>
          <w:tcPr>
            <w:tcW w:w="851" w:type="dxa"/>
            <w:vAlign w:val="center"/>
          </w:tcPr>
          <w:p w:rsidR="000847B7" w:rsidRPr="00B33C90" w:rsidRDefault="000847B7" w:rsidP="001455DC">
            <w:pPr>
              <w:jc w:val="center"/>
              <w:rPr>
                <w:bCs/>
                <w:sz w:val="24"/>
                <w:szCs w:val="24"/>
              </w:rPr>
            </w:pPr>
            <w:r>
              <w:rPr>
                <w:rFonts w:hint="eastAsia"/>
                <w:bCs/>
                <w:sz w:val="24"/>
                <w:szCs w:val="24"/>
              </w:rPr>
              <w:t>24</w:t>
            </w:r>
          </w:p>
        </w:tc>
        <w:tc>
          <w:tcPr>
            <w:tcW w:w="926" w:type="dxa"/>
            <w:vAlign w:val="center"/>
          </w:tcPr>
          <w:p w:rsidR="000847B7" w:rsidRPr="00B33C90" w:rsidRDefault="000847B7" w:rsidP="001455DC">
            <w:pPr>
              <w:jc w:val="center"/>
              <w:rPr>
                <w:bCs/>
                <w:sz w:val="24"/>
                <w:szCs w:val="24"/>
              </w:rPr>
            </w:pPr>
            <w:r>
              <w:rPr>
                <w:rFonts w:hint="eastAsia"/>
                <w:bCs/>
                <w:sz w:val="24"/>
                <w:szCs w:val="24"/>
              </w:rPr>
              <w:t>修改</w:t>
            </w:r>
          </w:p>
        </w:tc>
        <w:tc>
          <w:tcPr>
            <w:tcW w:w="5177" w:type="dxa"/>
            <w:vAlign w:val="center"/>
          </w:tcPr>
          <w:p w:rsidR="000847B7" w:rsidRPr="00F65E15" w:rsidRDefault="000847B7" w:rsidP="001455DC">
            <w:pPr>
              <w:spacing w:line="320" w:lineRule="exact"/>
              <w:rPr>
                <w:bCs/>
                <w:sz w:val="24"/>
                <w:szCs w:val="24"/>
              </w:rPr>
            </w:pPr>
            <w:r w:rsidRPr="00F65E15">
              <w:rPr>
                <w:bCs/>
                <w:sz w:val="24"/>
                <w:szCs w:val="24"/>
              </w:rPr>
              <w:t>第八十六条</w:t>
            </w:r>
            <w:r w:rsidRPr="00F65E15">
              <w:rPr>
                <w:rFonts w:hint="eastAsia"/>
                <w:bCs/>
                <w:sz w:val="24"/>
                <w:szCs w:val="24"/>
              </w:rPr>
              <w:t>，</w:t>
            </w:r>
            <w:r w:rsidRPr="00F65E15">
              <w:rPr>
                <w:bCs/>
                <w:sz w:val="24"/>
                <w:szCs w:val="24"/>
              </w:rPr>
              <w:t>……</w:t>
            </w:r>
            <w:r w:rsidRPr="00F65E15">
              <w:rPr>
                <w:bCs/>
                <w:sz w:val="24"/>
                <w:szCs w:val="24"/>
              </w:rPr>
              <w:t>（三）人行</w:t>
            </w:r>
            <w:proofErr w:type="gramStart"/>
            <w:r w:rsidRPr="00F65E15">
              <w:rPr>
                <w:bCs/>
                <w:sz w:val="24"/>
                <w:szCs w:val="24"/>
              </w:rPr>
              <w:t>过街天桥及跨街道</w:t>
            </w:r>
            <w:proofErr w:type="gramEnd"/>
            <w:r w:rsidRPr="00F65E15">
              <w:rPr>
                <w:bCs/>
                <w:sz w:val="24"/>
                <w:szCs w:val="24"/>
              </w:rPr>
              <w:t>的建（构）筑物净空不得低于4.5m，人行天桥桥面宽不得小于梯道宽；跨越铁路的人行天桥、建（构）筑物净空不得低于6.5m</w:t>
            </w:r>
            <w:r w:rsidRPr="00F65E15">
              <w:rPr>
                <w:bCs/>
                <w:sz w:val="24"/>
                <w:szCs w:val="24"/>
              </w:rPr>
              <w:t>……</w:t>
            </w:r>
            <w:r w:rsidRPr="00F65E15">
              <w:rPr>
                <w:bCs/>
                <w:sz w:val="24"/>
                <w:szCs w:val="24"/>
              </w:rPr>
              <w:t>。（五）</w:t>
            </w:r>
            <w:r w:rsidRPr="00F65E15">
              <w:rPr>
                <w:bCs/>
                <w:sz w:val="24"/>
                <w:szCs w:val="24"/>
              </w:rPr>
              <w:t>……</w:t>
            </w:r>
            <w:r w:rsidRPr="00F65E15">
              <w:rPr>
                <w:bCs/>
                <w:sz w:val="24"/>
                <w:szCs w:val="24"/>
              </w:rPr>
              <w:t>同侧停车港的间距宜为500m至800m。港湾式停车港直线段长度不应小于25m，宽度不宜小于</w:t>
            </w:r>
            <w:r w:rsidRPr="00F65E15">
              <w:rPr>
                <w:bCs/>
                <w:sz w:val="24"/>
                <w:szCs w:val="24"/>
              </w:rPr>
              <w:lastRenderedPageBreak/>
              <w:t>9m；划线式停车港直线段长度不应小于15m，宽度不宜小于3.5m。（六）规划4车道以上的城市道路平面交叉口的进出口，双向均应设置展宽段。展宽段的长度自路缘石半径的端点起为50m至80m</w:t>
            </w:r>
            <w:r w:rsidRPr="00F65E15">
              <w:rPr>
                <w:bCs/>
                <w:sz w:val="24"/>
                <w:szCs w:val="24"/>
              </w:rPr>
              <w:t>……</w:t>
            </w:r>
            <w:r w:rsidRPr="00F65E15">
              <w:rPr>
                <w:bCs/>
                <w:sz w:val="24"/>
                <w:szCs w:val="24"/>
              </w:rPr>
              <w:t>。</w:t>
            </w:r>
          </w:p>
        </w:tc>
        <w:tc>
          <w:tcPr>
            <w:tcW w:w="5670" w:type="dxa"/>
          </w:tcPr>
          <w:p w:rsidR="000847B7" w:rsidRPr="00F65E15" w:rsidRDefault="000847B7" w:rsidP="001455DC">
            <w:pPr>
              <w:spacing w:line="320" w:lineRule="exact"/>
              <w:rPr>
                <w:bCs/>
                <w:sz w:val="24"/>
                <w:szCs w:val="24"/>
              </w:rPr>
            </w:pPr>
            <w:r w:rsidRPr="00F65E15">
              <w:rPr>
                <w:rFonts w:hint="eastAsia"/>
                <w:kern w:val="0"/>
                <w:sz w:val="24"/>
                <w:szCs w:val="24"/>
              </w:rPr>
              <w:lastRenderedPageBreak/>
              <w:t>第</w:t>
            </w:r>
            <w:r w:rsidRPr="00F65E15">
              <w:rPr>
                <w:rFonts w:hint="eastAsia"/>
                <w:sz w:val="24"/>
                <w:szCs w:val="24"/>
              </w:rPr>
              <w:t>九十</w:t>
            </w:r>
            <w:r w:rsidRPr="00F65E15">
              <w:rPr>
                <w:rFonts w:hint="eastAsia"/>
                <w:kern w:val="0"/>
                <w:sz w:val="24"/>
                <w:szCs w:val="24"/>
              </w:rPr>
              <w:t>条，</w:t>
            </w:r>
            <w:r>
              <w:rPr>
                <w:kern w:val="0"/>
                <w:sz w:val="24"/>
                <w:szCs w:val="24"/>
              </w:rPr>
              <w:t>……</w:t>
            </w:r>
            <w:r w:rsidRPr="00F65E15">
              <w:rPr>
                <w:rFonts w:hint="eastAsia"/>
                <w:bCs/>
                <w:kern w:val="0"/>
                <w:sz w:val="24"/>
                <w:szCs w:val="24"/>
              </w:rPr>
              <w:t>（三）人行</w:t>
            </w:r>
            <w:proofErr w:type="gramStart"/>
            <w:r w:rsidRPr="00F65E15">
              <w:rPr>
                <w:rFonts w:hint="eastAsia"/>
                <w:bCs/>
                <w:kern w:val="0"/>
                <w:sz w:val="24"/>
                <w:szCs w:val="24"/>
              </w:rPr>
              <w:t>过街天桥及跨街道</w:t>
            </w:r>
            <w:proofErr w:type="gramEnd"/>
            <w:r w:rsidRPr="00F65E15">
              <w:rPr>
                <w:rFonts w:hint="eastAsia"/>
                <w:bCs/>
                <w:kern w:val="0"/>
                <w:sz w:val="24"/>
                <w:szCs w:val="24"/>
              </w:rPr>
              <w:t>的建（构）筑物净空不得低于4.5m，人行天桥桥面宽不得小于梯道宽；跨越铁路的人行天桥、建（构）筑物净空不得低于7.5m……</w:t>
            </w:r>
            <w:r w:rsidRPr="00F65E15">
              <w:rPr>
                <w:rFonts w:hint="eastAsia"/>
                <w:bCs/>
                <w:sz w:val="24"/>
                <w:szCs w:val="24"/>
              </w:rPr>
              <w:t>。（五）</w:t>
            </w:r>
            <w:r>
              <w:rPr>
                <w:bCs/>
                <w:sz w:val="24"/>
                <w:szCs w:val="24"/>
              </w:rPr>
              <w:t>……</w:t>
            </w:r>
            <w:r w:rsidRPr="00F65E15">
              <w:rPr>
                <w:rFonts w:hint="eastAsia"/>
                <w:bCs/>
                <w:sz w:val="24"/>
                <w:szCs w:val="24"/>
              </w:rPr>
              <w:t>同侧停车港的间距宜</w:t>
            </w:r>
            <w:r w:rsidRPr="00F65E15">
              <w:rPr>
                <w:rFonts w:hint="eastAsia"/>
                <w:bCs/>
                <w:kern w:val="0"/>
                <w:sz w:val="24"/>
                <w:szCs w:val="24"/>
              </w:rPr>
              <w:t>为400m至800m。</w:t>
            </w:r>
            <w:r w:rsidRPr="00F65E15">
              <w:rPr>
                <w:rFonts w:hint="eastAsia"/>
                <w:bCs/>
                <w:sz w:val="24"/>
                <w:szCs w:val="24"/>
              </w:rPr>
              <w:t>港湾式停车港直线段长度不应小于25m，划线式停车港直线段长度不应小于15m，</w:t>
            </w:r>
            <w:r w:rsidRPr="00F65E15">
              <w:rPr>
                <w:rFonts w:hint="eastAsia"/>
                <w:bCs/>
                <w:kern w:val="0"/>
                <w:sz w:val="24"/>
                <w:szCs w:val="24"/>
              </w:rPr>
              <w:t>港湾</w:t>
            </w:r>
            <w:r w:rsidRPr="00F65E15">
              <w:rPr>
                <w:rFonts w:hint="eastAsia"/>
                <w:bCs/>
                <w:kern w:val="0"/>
                <w:sz w:val="24"/>
                <w:szCs w:val="24"/>
              </w:rPr>
              <w:lastRenderedPageBreak/>
              <w:t>式、划线式停车港的站台宽度不宜小于2m，当条件受限时，站台宽度不得小于1.5m。港湾式、划线式停车港的车道宽度不宜小于3.5m。</w:t>
            </w:r>
            <w:r w:rsidRPr="00F65E15">
              <w:rPr>
                <w:rFonts w:hint="eastAsia"/>
                <w:bCs/>
                <w:sz w:val="24"/>
                <w:szCs w:val="24"/>
              </w:rPr>
              <w:t>（六）规划4车道以上的城市道路平面交叉口的进出口，双向均应设置展宽段。</w:t>
            </w:r>
            <w:r w:rsidRPr="00F65E15">
              <w:rPr>
                <w:rFonts w:hint="eastAsia"/>
                <w:bCs/>
                <w:kern w:val="0"/>
                <w:sz w:val="24"/>
                <w:szCs w:val="24"/>
              </w:rPr>
              <w:t>展宽段的长度自路缘石半径的端点起为40m至120m……</w:t>
            </w:r>
            <w:r w:rsidRPr="00F65E15">
              <w:rPr>
                <w:rFonts w:hint="eastAsia"/>
                <w:bCs/>
                <w:sz w:val="24"/>
                <w:szCs w:val="24"/>
              </w:rPr>
              <w:t>。</w:t>
            </w:r>
          </w:p>
        </w:tc>
        <w:tc>
          <w:tcPr>
            <w:tcW w:w="1134" w:type="dxa"/>
          </w:tcPr>
          <w:p w:rsidR="000847B7" w:rsidRPr="00B33C90" w:rsidRDefault="000847B7" w:rsidP="001455DC">
            <w:pPr>
              <w:rPr>
                <w:bCs/>
                <w:sz w:val="24"/>
                <w:szCs w:val="24"/>
              </w:rPr>
            </w:pPr>
          </w:p>
        </w:tc>
      </w:tr>
      <w:tr w:rsidR="000847B7" w:rsidRPr="00B33C90" w:rsidTr="001455DC">
        <w:trPr>
          <w:jc w:val="center"/>
        </w:trPr>
        <w:tc>
          <w:tcPr>
            <w:tcW w:w="851" w:type="dxa"/>
            <w:vAlign w:val="center"/>
          </w:tcPr>
          <w:p w:rsidR="000847B7" w:rsidRPr="00B33C90" w:rsidRDefault="000847B7" w:rsidP="001455DC">
            <w:pPr>
              <w:jc w:val="center"/>
              <w:rPr>
                <w:bCs/>
                <w:sz w:val="24"/>
                <w:szCs w:val="24"/>
              </w:rPr>
            </w:pPr>
            <w:r w:rsidRPr="00B33C90">
              <w:rPr>
                <w:rFonts w:hint="eastAsia"/>
                <w:bCs/>
                <w:sz w:val="24"/>
                <w:szCs w:val="24"/>
              </w:rPr>
              <w:lastRenderedPageBreak/>
              <w:t>2</w:t>
            </w:r>
            <w:r>
              <w:rPr>
                <w:rFonts w:hint="eastAsia"/>
                <w:bCs/>
                <w:sz w:val="24"/>
                <w:szCs w:val="24"/>
              </w:rPr>
              <w:t>5</w:t>
            </w:r>
          </w:p>
        </w:tc>
        <w:tc>
          <w:tcPr>
            <w:tcW w:w="926" w:type="dxa"/>
            <w:vAlign w:val="center"/>
          </w:tcPr>
          <w:p w:rsidR="000847B7" w:rsidRPr="00B33C90" w:rsidRDefault="000847B7" w:rsidP="001455DC">
            <w:pPr>
              <w:jc w:val="center"/>
              <w:rPr>
                <w:bCs/>
                <w:sz w:val="24"/>
                <w:szCs w:val="24"/>
              </w:rPr>
            </w:pPr>
            <w:r w:rsidRPr="00B33C90">
              <w:rPr>
                <w:rFonts w:hint="eastAsia"/>
                <w:bCs/>
                <w:sz w:val="24"/>
                <w:szCs w:val="24"/>
              </w:rPr>
              <w:t>修改</w:t>
            </w:r>
          </w:p>
        </w:tc>
        <w:tc>
          <w:tcPr>
            <w:tcW w:w="5177" w:type="dxa"/>
            <w:vAlign w:val="center"/>
          </w:tcPr>
          <w:p w:rsidR="000847B7" w:rsidRPr="00B33C90" w:rsidRDefault="000847B7" w:rsidP="001455DC">
            <w:pPr>
              <w:spacing w:line="320" w:lineRule="exact"/>
              <w:rPr>
                <w:bCs/>
                <w:sz w:val="24"/>
                <w:szCs w:val="24"/>
              </w:rPr>
            </w:pPr>
            <w:r w:rsidRPr="00B33C90">
              <w:rPr>
                <w:bCs/>
                <w:sz w:val="24"/>
                <w:szCs w:val="24"/>
              </w:rPr>
              <w:t>第八十九条</w:t>
            </w:r>
            <w:r w:rsidRPr="00B33C90">
              <w:rPr>
                <w:rFonts w:hint="eastAsia"/>
                <w:bCs/>
                <w:sz w:val="24"/>
                <w:szCs w:val="24"/>
              </w:rPr>
              <w:t>第</w:t>
            </w:r>
            <w:r w:rsidRPr="00B33C90">
              <w:rPr>
                <w:bCs/>
                <w:sz w:val="24"/>
                <w:szCs w:val="24"/>
              </w:rPr>
              <w:t>（一）</w:t>
            </w:r>
            <w:r w:rsidRPr="00B33C90">
              <w:rPr>
                <w:rFonts w:hint="eastAsia"/>
                <w:bCs/>
                <w:sz w:val="24"/>
                <w:szCs w:val="24"/>
              </w:rPr>
              <w:t>款，</w:t>
            </w:r>
            <w:r w:rsidRPr="00B33C90">
              <w:rPr>
                <w:bCs/>
                <w:sz w:val="24"/>
                <w:szCs w:val="24"/>
              </w:rPr>
              <w:t>一类居住用地的绿地率不宜低于40%，二类居住用地的绿地率不宜低于38%；旧城改造区内二类居住用地的绿地率不宜低于25%。</w:t>
            </w:r>
          </w:p>
        </w:tc>
        <w:tc>
          <w:tcPr>
            <w:tcW w:w="5670" w:type="dxa"/>
          </w:tcPr>
          <w:p w:rsidR="000847B7" w:rsidRPr="00B33C90" w:rsidRDefault="000847B7" w:rsidP="001455DC">
            <w:pPr>
              <w:spacing w:line="320" w:lineRule="exact"/>
              <w:rPr>
                <w:bCs/>
                <w:sz w:val="24"/>
                <w:szCs w:val="24"/>
              </w:rPr>
            </w:pPr>
            <w:r w:rsidRPr="00B33C90">
              <w:rPr>
                <w:rFonts w:hint="eastAsia"/>
                <w:bCs/>
                <w:sz w:val="24"/>
                <w:szCs w:val="24"/>
              </w:rPr>
              <w:t>第九十三条第</w:t>
            </w:r>
            <w:r w:rsidRPr="00B33C90">
              <w:rPr>
                <w:bCs/>
                <w:sz w:val="24"/>
                <w:szCs w:val="24"/>
              </w:rPr>
              <w:t>（一）</w:t>
            </w:r>
            <w:r w:rsidRPr="00B33C90">
              <w:rPr>
                <w:rFonts w:hint="eastAsia"/>
                <w:bCs/>
                <w:sz w:val="24"/>
                <w:szCs w:val="24"/>
              </w:rPr>
              <w:t>款，</w:t>
            </w:r>
            <w:r w:rsidRPr="00B33C90">
              <w:rPr>
                <w:bCs/>
                <w:sz w:val="24"/>
                <w:szCs w:val="24"/>
              </w:rPr>
              <w:t>居住用地的绿地率不宜低于3</w:t>
            </w:r>
            <w:r w:rsidRPr="00B33C90">
              <w:rPr>
                <w:rFonts w:hint="eastAsia"/>
                <w:bCs/>
                <w:sz w:val="24"/>
                <w:szCs w:val="24"/>
              </w:rPr>
              <w:t>8</w:t>
            </w:r>
            <w:r w:rsidRPr="00B33C90">
              <w:rPr>
                <w:bCs/>
                <w:sz w:val="24"/>
                <w:szCs w:val="24"/>
              </w:rPr>
              <w:t>%；旧城改造区内二类居住用地的绿地率不宜低于25%。</w:t>
            </w:r>
          </w:p>
        </w:tc>
        <w:tc>
          <w:tcPr>
            <w:tcW w:w="1134" w:type="dxa"/>
          </w:tcPr>
          <w:p w:rsidR="000847B7" w:rsidRPr="00B33C90" w:rsidRDefault="000847B7" w:rsidP="001455DC">
            <w:pPr>
              <w:rPr>
                <w:bCs/>
                <w:sz w:val="24"/>
                <w:szCs w:val="24"/>
              </w:rPr>
            </w:pPr>
          </w:p>
        </w:tc>
      </w:tr>
      <w:tr w:rsidR="000847B7" w:rsidRPr="00B33C90" w:rsidTr="001455DC">
        <w:trPr>
          <w:jc w:val="center"/>
        </w:trPr>
        <w:tc>
          <w:tcPr>
            <w:tcW w:w="851" w:type="dxa"/>
            <w:vAlign w:val="center"/>
          </w:tcPr>
          <w:p w:rsidR="000847B7" w:rsidRPr="00B33C90" w:rsidRDefault="000847B7" w:rsidP="001455DC">
            <w:pPr>
              <w:jc w:val="center"/>
              <w:rPr>
                <w:bCs/>
                <w:sz w:val="24"/>
                <w:szCs w:val="24"/>
              </w:rPr>
            </w:pPr>
            <w:r w:rsidRPr="00B33C90">
              <w:rPr>
                <w:rFonts w:hint="eastAsia"/>
                <w:bCs/>
                <w:sz w:val="24"/>
                <w:szCs w:val="24"/>
              </w:rPr>
              <w:t>2</w:t>
            </w:r>
            <w:r>
              <w:rPr>
                <w:rFonts w:hint="eastAsia"/>
                <w:bCs/>
                <w:sz w:val="24"/>
                <w:szCs w:val="24"/>
              </w:rPr>
              <w:t>6</w:t>
            </w:r>
          </w:p>
        </w:tc>
        <w:tc>
          <w:tcPr>
            <w:tcW w:w="926" w:type="dxa"/>
            <w:vAlign w:val="center"/>
          </w:tcPr>
          <w:p w:rsidR="000847B7" w:rsidRPr="00B33C90" w:rsidRDefault="000847B7" w:rsidP="001455DC">
            <w:pPr>
              <w:jc w:val="center"/>
              <w:rPr>
                <w:bCs/>
                <w:sz w:val="24"/>
                <w:szCs w:val="24"/>
              </w:rPr>
            </w:pPr>
            <w:r w:rsidRPr="00B33C90">
              <w:rPr>
                <w:rFonts w:hint="eastAsia"/>
                <w:bCs/>
                <w:sz w:val="24"/>
                <w:szCs w:val="24"/>
              </w:rPr>
              <w:t>修改</w:t>
            </w:r>
          </w:p>
        </w:tc>
        <w:tc>
          <w:tcPr>
            <w:tcW w:w="5177" w:type="dxa"/>
            <w:vAlign w:val="center"/>
          </w:tcPr>
          <w:p w:rsidR="000847B7" w:rsidRPr="00B33C90" w:rsidRDefault="000847B7" w:rsidP="001455DC">
            <w:pPr>
              <w:spacing w:line="320" w:lineRule="exact"/>
              <w:rPr>
                <w:bCs/>
                <w:sz w:val="24"/>
                <w:szCs w:val="24"/>
              </w:rPr>
            </w:pPr>
            <w:r w:rsidRPr="00B33C90">
              <w:rPr>
                <w:bCs/>
                <w:sz w:val="24"/>
                <w:szCs w:val="24"/>
              </w:rPr>
              <w:t>第九十二条</w:t>
            </w:r>
            <w:r w:rsidRPr="00B33C90">
              <w:rPr>
                <w:rFonts w:hint="eastAsia"/>
                <w:bCs/>
                <w:sz w:val="24"/>
                <w:szCs w:val="24"/>
              </w:rPr>
              <w:t>，</w:t>
            </w:r>
            <w:r w:rsidRPr="00B33C90">
              <w:rPr>
                <w:bCs/>
                <w:sz w:val="24"/>
                <w:szCs w:val="24"/>
              </w:rPr>
              <w:t>新建建筑</w:t>
            </w:r>
            <w:proofErr w:type="gramStart"/>
            <w:r w:rsidRPr="00B33C90">
              <w:rPr>
                <w:bCs/>
                <w:sz w:val="24"/>
                <w:szCs w:val="24"/>
              </w:rPr>
              <w:t>宜实施</w:t>
            </w:r>
            <w:proofErr w:type="gramEnd"/>
            <w:r w:rsidRPr="00B33C90">
              <w:rPr>
                <w:bCs/>
                <w:sz w:val="24"/>
                <w:szCs w:val="24"/>
              </w:rPr>
              <w:t>屋顶绿化和立体绿化，</w:t>
            </w:r>
            <w:r w:rsidRPr="00B33C90">
              <w:rPr>
                <w:bCs/>
                <w:sz w:val="24"/>
                <w:szCs w:val="24"/>
              </w:rPr>
              <w:t>…</w:t>
            </w:r>
            <w:r w:rsidRPr="00B33C90">
              <w:rPr>
                <w:bCs/>
                <w:sz w:val="24"/>
                <w:szCs w:val="24"/>
              </w:rPr>
              <w:t>屋顶绿化覆土深度不小于1.5m，住宅屋顶绿化覆土深度不小于0.9m。</w:t>
            </w:r>
          </w:p>
        </w:tc>
        <w:tc>
          <w:tcPr>
            <w:tcW w:w="5670" w:type="dxa"/>
          </w:tcPr>
          <w:p w:rsidR="000847B7" w:rsidRPr="00B33C90" w:rsidRDefault="000847B7" w:rsidP="001455DC">
            <w:pPr>
              <w:spacing w:line="320" w:lineRule="exact"/>
              <w:rPr>
                <w:bCs/>
                <w:sz w:val="24"/>
                <w:szCs w:val="24"/>
              </w:rPr>
            </w:pPr>
            <w:r w:rsidRPr="00B33C90">
              <w:rPr>
                <w:bCs/>
                <w:sz w:val="24"/>
                <w:szCs w:val="24"/>
              </w:rPr>
              <w:t>第九十</w:t>
            </w:r>
            <w:r w:rsidRPr="00B33C90">
              <w:rPr>
                <w:rFonts w:hint="eastAsia"/>
                <w:bCs/>
                <w:sz w:val="24"/>
                <w:szCs w:val="24"/>
              </w:rPr>
              <w:t>六</w:t>
            </w:r>
            <w:r w:rsidRPr="00B33C90">
              <w:rPr>
                <w:bCs/>
                <w:sz w:val="24"/>
                <w:szCs w:val="24"/>
              </w:rPr>
              <w:t>条</w:t>
            </w:r>
            <w:r w:rsidRPr="00B33C90">
              <w:rPr>
                <w:rFonts w:hint="eastAsia"/>
                <w:bCs/>
                <w:sz w:val="24"/>
                <w:szCs w:val="24"/>
              </w:rPr>
              <w:t>，</w:t>
            </w:r>
            <w:r w:rsidRPr="00B33C90">
              <w:rPr>
                <w:bCs/>
                <w:sz w:val="24"/>
                <w:szCs w:val="24"/>
              </w:rPr>
              <w:t>新建建筑</w:t>
            </w:r>
            <w:proofErr w:type="gramStart"/>
            <w:r w:rsidRPr="00B33C90">
              <w:rPr>
                <w:bCs/>
                <w:sz w:val="24"/>
                <w:szCs w:val="24"/>
              </w:rPr>
              <w:t>宜实施</w:t>
            </w:r>
            <w:proofErr w:type="gramEnd"/>
            <w:r w:rsidRPr="00B33C90">
              <w:rPr>
                <w:bCs/>
                <w:sz w:val="24"/>
                <w:szCs w:val="24"/>
              </w:rPr>
              <w:t>屋顶绿化和立体绿化，</w:t>
            </w:r>
            <w:r w:rsidRPr="00B33C90">
              <w:rPr>
                <w:bCs/>
                <w:sz w:val="24"/>
                <w:szCs w:val="24"/>
              </w:rPr>
              <w:t>…</w:t>
            </w:r>
            <w:r w:rsidRPr="00B33C90">
              <w:rPr>
                <w:bCs/>
                <w:sz w:val="24"/>
                <w:szCs w:val="24"/>
              </w:rPr>
              <w:t>屋顶绿化覆土深度不小于1.</w:t>
            </w:r>
            <w:r w:rsidRPr="00B33C90">
              <w:rPr>
                <w:rFonts w:hint="eastAsia"/>
                <w:bCs/>
                <w:sz w:val="24"/>
                <w:szCs w:val="24"/>
              </w:rPr>
              <w:t>2</w:t>
            </w:r>
            <w:r w:rsidRPr="00B33C90">
              <w:rPr>
                <w:bCs/>
                <w:sz w:val="24"/>
                <w:szCs w:val="24"/>
              </w:rPr>
              <w:t>m，住宅屋顶绿化覆土深度不小于0.6m。</w:t>
            </w:r>
          </w:p>
        </w:tc>
        <w:tc>
          <w:tcPr>
            <w:tcW w:w="1134" w:type="dxa"/>
          </w:tcPr>
          <w:p w:rsidR="000847B7" w:rsidRPr="00B33C90" w:rsidRDefault="000847B7" w:rsidP="001455DC">
            <w:pPr>
              <w:rPr>
                <w:bCs/>
                <w:sz w:val="24"/>
                <w:szCs w:val="24"/>
              </w:rPr>
            </w:pPr>
          </w:p>
        </w:tc>
      </w:tr>
      <w:tr w:rsidR="000847B7" w:rsidRPr="00B33C90" w:rsidTr="001455DC">
        <w:trPr>
          <w:jc w:val="center"/>
        </w:trPr>
        <w:tc>
          <w:tcPr>
            <w:tcW w:w="851" w:type="dxa"/>
            <w:vAlign w:val="center"/>
          </w:tcPr>
          <w:p w:rsidR="000847B7" w:rsidRPr="00B33C90" w:rsidRDefault="000847B7" w:rsidP="001455DC">
            <w:pPr>
              <w:jc w:val="center"/>
              <w:rPr>
                <w:bCs/>
                <w:sz w:val="24"/>
                <w:szCs w:val="24"/>
              </w:rPr>
            </w:pPr>
            <w:r w:rsidRPr="00B33C90">
              <w:rPr>
                <w:rFonts w:hint="eastAsia"/>
                <w:bCs/>
                <w:sz w:val="24"/>
                <w:szCs w:val="24"/>
              </w:rPr>
              <w:t>2</w:t>
            </w:r>
            <w:r>
              <w:rPr>
                <w:rFonts w:hint="eastAsia"/>
                <w:bCs/>
                <w:sz w:val="24"/>
                <w:szCs w:val="24"/>
              </w:rPr>
              <w:t>7</w:t>
            </w:r>
          </w:p>
        </w:tc>
        <w:tc>
          <w:tcPr>
            <w:tcW w:w="926" w:type="dxa"/>
            <w:vAlign w:val="center"/>
          </w:tcPr>
          <w:p w:rsidR="000847B7" w:rsidRPr="00B33C90" w:rsidRDefault="000847B7" w:rsidP="001455DC">
            <w:pPr>
              <w:jc w:val="center"/>
              <w:rPr>
                <w:bCs/>
                <w:sz w:val="24"/>
                <w:szCs w:val="24"/>
              </w:rPr>
            </w:pPr>
            <w:r w:rsidRPr="00B33C90">
              <w:rPr>
                <w:rFonts w:hint="eastAsia"/>
                <w:bCs/>
                <w:sz w:val="24"/>
                <w:szCs w:val="24"/>
              </w:rPr>
              <w:t>修改</w:t>
            </w:r>
          </w:p>
        </w:tc>
        <w:tc>
          <w:tcPr>
            <w:tcW w:w="5177" w:type="dxa"/>
            <w:vAlign w:val="center"/>
          </w:tcPr>
          <w:p w:rsidR="000847B7" w:rsidRPr="00B33C90" w:rsidRDefault="000847B7" w:rsidP="001455DC">
            <w:pPr>
              <w:spacing w:line="320" w:lineRule="exact"/>
              <w:rPr>
                <w:bCs/>
                <w:sz w:val="24"/>
                <w:szCs w:val="24"/>
              </w:rPr>
            </w:pPr>
            <w:r w:rsidRPr="00B33C90">
              <w:rPr>
                <w:rFonts w:hint="eastAsia"/>
                <w:bCs/>
                <w:sz w:val="24"/>
                <w:szCs w:val="24"/>
              </w:rPr>
              <w:t>第九十四条第</w:t>
            </w:r>
            <w:r w:rsidRPr="00B33C90">
              <w:rPr>
                <w:bCs/>
                <w:sz w:val="24"/>
                <w:szCs w:val="24"/>
              </w:rPr>
              <w:t>（四）</w:t>
            </w:r>
            <w:r w:rsidRPr="00B33C90">
              <w:rPr>
                <w:rFonts w:hint="eastAsia"/>
                <w:bCs/>
                <w:sz w:val="24"/>
                <w:szCs w:val="24"/>
              </w:rPr>
              <w:t>款，</w:t>
            </w:r>
            <w:r w:rsidRPr="00B33C90">
              <w:rPr>
                <w:bCs/>
                <w:sz w:val="24"/>
                <w:szCs w:val="24"/>
              </w:rPr>
              <w:t>居住人数超过10000人的住宅小区应设置两个以上对公众开放且与城市道路相连接的公共厕所，且单个建筑面积不宜小于50㎡，10000人以下、3000人以上的住宅小区应至少设置一个对内的公共厕所，且建筑面积不宜小于60㎡。3000人以下的住宅小区应结合周边居住人口等实际情况确定。</w:t>
            </w:r>
          </w:p>
        </w:tc>
        <w:tc>
          <w:tcPr>
            <w:tcW w:w="5670" w:type="dxa"/>
          </w:tcPr>
          <w:p w:rsidR="000847B7" w:rsidRPr="00F65E15" w:rsidRDefault="000847B7" w:rsidP="001455DC">
            <w:pPr>
              <w:spacing w:line="320" w:lineRule="exact"/>
              <w:rPr>
                <w:bCs/>
                <w:sz w:val="24"/>
                <w:szCs w:val="24"/>
              </w:rPr>
            </w:pPr>
            <w:r w:rsidRPr="00B33C90">
              <w:rPr>
                <w:rFonts w:hint="eastAsia"/>
                <w:bCs/>
                <w:sz w:val="24"/>
                <w:szCs w:val="24"/>
              </w:rPr>
              <w:t>第九十八条第（四）款，</w:t>
            </w:r>
            <w:r w:rsidRPr="00F65E15">
              <w:rPr>
                <w:rFonts w:hint="eastAsia"/>
                <w:bCs/>
                <w:sz w:val="24"/>
                <w:szCs w:val="24"/>
              </w:rPr>
              <w:t>（四）居住建筑面积200000㎡及以上的住宅小区应设置两个及以上对公众开放且与城市道路相连接的公共厕所，且单个建筑面积不小于50㎡；200000㎡以下、100000㎡以上的住宅小区应至少设置一个对内的公共厕所，且建筑面积不小于60㎡；100000㎡以下的住宅小区应结合周边居住人口、公共厕所实际配建等情况确定，纳入规划条件。</w:t>
            </w:r>
          </w:p>
        </w:tc>
        <w:tc>
          <w:tcPr>
            <w:tcW w:w="1134" w:type="dxa"/>
          </w:tcPr>
          <w:p w:rsidR="000847B7" w:rsidRPr="00B33C90" w:rsidRDefault="000847B7" w:rsidP="001455DC">
            <w:pPr>
              <w:rPr>
                <w:bCs/>
                <w:sz w:val="24"/>
                <w:szCs w:val="24"/>
              </w:rPr>
            </w:pPr>
          </w:p>
        </w:tc>
      </w:tr>
      <w:tr w:rsidR="000847B7" w:rsidRPr="00B33C90" w:rsidTr="001455DC">
        <w:trPr>
          <w:jc w:val="center"/>
        </w:trPr>
        <w:tc>
          <w:tcPr>
            <w:tcW w:w="851" w:type="dxa"/>
            <w:vAlign w:val="center"/>
          </w:tcPr>
          <w:p w:rsidR="000847B7" w:rsidRPr="00B33C90" w:rsidRDefault="000847B7" w:rsidP="001455DC">
            <w:pPr>
              <w:jc w:val="center"/>
              <w:rPr>
                <w:bCs/>
                <w:sz w:val="24"/>
                <w:szCs w:val="24"/>
              </w:rPr>
            </w:pPr>
            <w:r w:rsidRPr="00B33C90">
              <w:rPr>
                <w:rFonts w:hint="eastAsia"/>
                <w:bCs/>
                <w:sz w:val="24"/>
                <w:szCs w:val="24"/>
              </w:rPr>
              <w:t>2</w:t>
            </w:r>
            <w:r>
              <w:rPr>
                <w:rFonts w:hint="eastAsia"/>
                <w:bCs/>
                <w:sz w:val="24"/>
                <w:szCs w:val="24"/>
              </w:rPr>
              <w:t>8</w:t>
            </w:r>
          </w:p>
        </w:tc>
        <w:tc>
          <w:tcPr>
            <w:tcW w:w="926" w:type="dxa"/>
            <w:vAlign w:val="center"/>
          </w:tcPr>
          <w:p w:rsidR="000847B7" w:rsidRPr="00B33C90" w:rsidRDefault="000847B7" w:rsidP="001455DC">
            <w:pPr>
              <w:jc w:val="center"/>
              <w:rPr>
                <w:bCs/>
                <w:sz w:val="24"/>
                <w:szCs w:val="24"/>
              </w:rPr>
            </w:pPr>
            <w:r w:rsidRPr="00B33C90">
              <w:rPr>
                <w:rFonts w:hint="eastAsia"/>
                <w:bCs/>
                <w:sz w:val="24"/>
                <w:szCs w:val="24"/>
              </w:rPr>
              <w:t>修改</w:t>
            </w:r>
          </w:p>
        </w:tc>
        <w:tc>
          <w:tcPr>
            <w:tcW w:w="10847" w:type="dxa"/>
            <w:gridSpan w:val="2"/>
            <w:vAlign w:val="center"/>
          </w:tcPr>
          <w:p w:rsidR="000847B7" w:rsidRPr="00B33C90" w:rsidRDefault="000847B7" w:rsidP="001455DC">
            <w:pPr>
              <w:spacing w:line="320" w:lineRule="exact"/>
              <w:rPr>
                <w:bCs/>
                <w:sz w:val="24"/>
                <w:szCs w:val="24"/>
              </w:rPr>
            </w:pPr>
            <w:r w:rsidRPr="00B33C90">
              <w:rPr>
                <w:rFonts w:hint="eastAsia"/>
                <w:bCs/>
                <w:sz w:val="24"/>
                <w:szCs w:val="24"/>
              </w:rPr>
              <w:t>根据正文条款，对附录二中酒店建筑、商业建筑容积率计算规则</w:t>
            </w:r>
            <w:proofErr w:type="gramStart"/>
            <w:r w:rsidRPr="00B33C90">
              <w:rPr>
                <w:rFonts w:hint="eastAsia"/>
                <w:bCs/>
                <w:sz w:val="24"/>
                <w:szCs w:val="24"/>
              </w:rPr>
              <w:t>作出</w:t>
            </w:r>
            <w:proofErr w:type="gramEnd"/>
            <w:r w:rsidRPr="00B33C90">
              <w:rPr>
                <w:rFonts w:hint="eastAsia"/>
                <w:bCs/>
                <w:sz w:val="24"/>
                <w:szCs w:val="24"/>
              </w:rPr>
              <w:t>相应修改，同时明确：建筑首层架空部分作为绿化、公共休闲、通道等公共活动使用的建筑面积不计</w:t>
            </w:r>
            <w:proofErr w:type="gramStart"/>
            <w:r w:rsidRPr="00B33C90">
              <w:rPr>
                <w:rFonts w:hint="eastAsia"/>
                <w:bCs/>
                <w:sz w:val="24"/>
                <w:szCs w:val="24"/>
              </w:rPr>
              <w:t>入计容</w:t>
            </w:r>
            <w:proofErr w:type="gramEnd"/>
            <w:r w:rsidRPr="00B33C90">
              <w:rPr>
                <w:rFonts w:hint="eastAsia"/>
                <w:bCs/>
                <w:sz w:val="24"/>
                <w:szCs w:val="24"/>
              </w:rPr>
              <w:t>建筑面积； 三面嵌入或全嵌入的地下室、地下车库入出口、地下车库附建的排风口以及半地下室中除住宅、商业服务设施（含库房）外的其它各类建筑面积不计入容积率；社区服务用房、</w:t>
            </w:r>
            <w:r w:rsidRPr="00B33C90">
              <w:rPr>
                <w:bCs/>
                <w:sz w:val="24"/>
                <w:szCs w:val="24"/>
              </w:rPr>
              <w:t>对外使用的公共厕所</w:t>
            </w:r>
            <w:r w:rsidRPr="00B33C90">
              <w:rPr>
                <w:rFonts w:hint="eastAsia"/>
                <w:bCs/>
                <w:sz w:val="24"/>
                <w:szCs w:val="24"/>
              </w:rPr>
              <w:t>以及垃圾用房的建筑</w:t>
            </w:r>
            <w:r w:rsidRPr="00B33C90">
              <w:rPr>
                <w:bCs/>
                <w:sz w:val="24"/>
                <w:szCs w:val="24"/>
              </w:rPr>
              <w:t>面积可不计</w:t>
            </w:r>
            <w:proofErr w:type="gramStart"/>
            <w:r w:rsidRPr="00B33C90">
              <w:rPr>
                <w:bCs/>
                <w:sz w:val="24"/>
                <w:szCs w:val="24"/>
              </w:rPr>
              <w:t>入计容</w:t>
            </w:r>
            <w:proofErr w:type="gramEnd"/>
            <w:r w:rsidRPr="00B33C90">
              <w:rPr>
                <w:bCs/>
                <w:sz w:val="24"/>
                <w:szCs w:val="24"/>
              </w:rPr>
              <w:t>建筑面积。</w:t>
            </w:r>
          </w:p>
        </w:tc>
        <w:tc>
          <w:tcPr>
            <w:tcW w:w="1134" w:type="dxa"/>
          </w:tcPr>
          <w:p w:rsidR="000847B7" w:rsidRPr="00B33C90" w:rsidRDefault="000847B7" w:rsidP="001455DC">
            <w:pPr>
              <w:rPr>
                <w:bCs/>
                <w:sz w:val="24"/>
                <w:szCs w:val="24"/>
              </w:rPr>
            </w:pPr>
          </w:p>
        </w:tc>
      </w:tr>
      <w:tr w:rsidR="000847B7" w:rsidRPr="00B33C90" w:rsidTr="001455DC">
        <w:trPr>
          <w:jc w:val="center"/>
        </w:trPr>
        <w:tc>
          <w:tcPr>
            <w:tcW w:w="851" w:type="dxa"/>
            <w:vAlign w:val="center"/>
          </w:tcPr>
          <w:p w:rsidR="000847B7" w:rsidRPr="00B33C90" w:rsidRDefault="000847B7" w:rsidP="001455DC">
            <w:pPr>
              <w:jc w:val="center"/>
              <w:rPr>
                <w:bCs/>
                <w:sz w:val="24"/>
                <w:szCs w:val="24"/>
              </w:rPr>
            </w:pPr>
            <w:r w:rsidRPr="00B33C90">
              <w:rPr>
                <w:rFonts w:hint="eastAsia"/>
                <w:bCs/>
                <w:sz w:val="24"/>
                <w:szCs w:val="24"/>
              </w:rPr>
              <w:t>2</w:t>
            </w:r>
            <w:r>
              <w:rPr>
                <w:rFonts w:hint="eastAsia"/>
                <w:bCs/>
                <w:sz w:val="24"/>
                <w:szCs w:val="24"/>
              </w:rPr>
              <w:t>9</w:t>
            </w:r>
          </w:p>
        </w:tc>
        <w:tc>
          <w:tcPr>
            <w:tcW w:w="926" w:type="dxa"/>
            <w:vAlign w:val="center"/>
          </w:tcPr>
          <w:p w:rsidR="000847B7" w:rsidRPr="00B33C90" w:rsidRDefault="000847B7" w:rsidP="001455DC">
            <w:pPr>
              <w:jc w:val="center"/>
              <w:rPr>
                <w:bCs/>
                <w:sz w:val="24"/>
                <w:szCs w:val="24"/>
              </w:rPr>
            </w:pPr>
            <w:r w:rsidRPr="00B33C90">
              <w:rPr>
                <w:rFonts w:hint="eastAsia"/>
                <w:bCs/>
                <w:sz w:val="24"/>
                <w:szCs w:val="24"/>
              </w:rPr>
              <w:t>修改</w:t>
            </w:r>
          </w:p>
        </w:tc>
        <w:tc>
          <w:tcPr>
            <w:tcW w:w="10847" w:type="dxa"/>
            <w:gridSpan w:val="2"/>
            <w:vAlign w:val="center"/>
          </w:tcPr>
          <w:p w:rsidR="000847B7" w:rsidRPr="00B33C90" w:rsidRDefault="000847B7" w:rsidP="001455DC">
            <w:pPr>
              <w:spacing w:line="320" w:lineRule="exact"/>
              <w:rPr>
                <w:bCs/>
                <w:sz w:val="24"/>
                <w:szCs w:val="24"/>
              </w:rPr>
            </w:pPr>
            <w:r w:rsidRPr="00B33C90">
              <w:rPr>
                <w:rFonts w:hint="eastAsia"/>
                <w:bCs/>
                <w:sz w:val="24"/>
                <w:szCs w:val="24"/>
              </w:rPr>
              <w:t>按照自然资源部《国土空间调查、规划、用途管制用地用海分类指南》，修改</w:t>
            </w:r>
            <w:r w:rsidRPr="00B33C90">
              <w:rPr>
                <w:bCs/>
                <w:sz w:val="24"/>
                <w:szCs w:val="24"/>
              </w:rPr>
              <w:t>附录五</w:t>
            </w:r>
            <w:r w:rsidRPr="00B33C90">
              <w:rPr>
                <w:rFonts w:hint="eastAsia"/>
                <w:bCs/>
                <w:sz w:val="24"/>
                <w:szCs w:val="24"/>
              </w:rPr>
              <w:t>《</w:t>
            </w:r>
            <w:r w:rsidRPr="00B33C90">
              <w:rPr>
                <w:bCs/>
                <w:sz w:val="24"/>
                <w:szCs w:val="24"/>
              </w:rPr>
              <w:t>规划用地混合性兼容规定表</w:t>
            </w:r>
            <w:r w:rsidRPr="00B33C90">
              <w:rPr>
                <w:rFonts w:hint="eastAsia"/>
                <w:bCs/>
                <w:sz w:val="24"/>
                <w:szCs w:val="24"/>
              </w:rPr>
              <w:t>》中的用地代码。</w:t>
            </w:r>
          </w:p>
        </w:tc>
        <w:tc>
          <w:tcPr>
            <w:tcW w:w="1134" w:type="dxa"/>
          </w:tcPr>
          <w:p w:rsidR="000847B7" w:rsidRPr="00B33C90" w:rsidRDefault="000847B7" w:rsidP="001455DC">
            <w:pPr>
              <w:rPr>
                <w:bCs/>
                <w:sz w:val="24"/>
                <w:szCs w:val="24"/>
              </w:rPr>
            </w:pPr>
          </w:p>
        </w:tc>
      </w:tr>
    </w:tbl>
    <w:p w:rsidR="000847B7" w:rsidRPr="000847B7" w:rsidRDefault="000847B7">
      <w:pPr>
        <w:sectPr w:rsidR="000847B7" w:rsidRPr="000847B7" w:rsidSect="000847B7">
          <w:pgSz w:w="16838" w:h="11906" w:orient="landscape"/>
          <w:pgMar w:top="1588" w:right="1701" w:bottom="1588" w:left="1985" w:header="851" w:footer="992" w:gutter="0"/>
          <w:cols w:space="425"/>
          <w:docGrid w:type="linesAndChars" w:linePitch="312"/>
        </w:sectPr>
      </w:pPr>
    </w:p>
    <w:p w:rsidR="008B27EE" w:rsidRPr="00A75CAA" w:rsidRDefault="008B27EE"/>
    <w:sectPr w:rsidR="008B27EE" w:rsidRPr="00A75CAA" w:rsidSect="00ED4A9C">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8D6" w:rsidRDefault="002C28D6" w:rsidP="000847B7">
      <w:r>
        <w:separator/>
      </w:r>
    </w:p>
  </w:endnote>
  <w:endnote w:type="continuationSeparator" w:id="0">
    <w:p w:rsidR="002C28D6" w:rsidRDefault="002C28D6" w:rsidP="00084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2000000000000000000"/>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楷体_GBK">
    <w:panose1 w:val="02000000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8D6" w:rsidRDefault="002C28D6" w:rsidP="000847B7">
      <w:r>
        <w:separator/>
      </w:r>
    </w:p>
  </w:footnote>
  <w:footnote w:type="continuationSeparator" w:id="0">
    <w:p w:rsidR="002C28D6" w:rsidRDefault="002C28D6" w:rsidP="000847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CAA"/>
    <w:rsid w:val="00000D4D"/>
    <w:rsid w:val="00005DF7"/>
    <w:rsid w:val="00010F16"/>
    <w:rsid w:val="000111E6"/>
    <w:rsid w:val="000112EF"/>
    <w:rsid w:val="00015B1A"/>
    <w:rsid w:val="00016AA5"/>
    <w:rsid w:val="00017981"/>
    <w:rsid w:val="00020010"/>
    <w:rsid w:val="00027424"/>
    <w:rsid w:val="00030DF4"/>
    <w:rsid w:val="000316A9"/>
    <w:rsid w:val="0003301A"/>
    <w:rsid w:val="000425F6"/>
    <w:rsid w:val="00072825"/>
    <w:rsid w:val="00083412"/>
    <w:rsid w:val="000847B7"/>
    <w:rsid w:val="000877B4"/>
    <w:rsid w:val="0009089E"/>
    <w:rsid w:val="00090CEC"/>
    <w:rsid w:val="000936F4"/>
    <w:rsid w:val="00093967"/>
    <w:rsid w:val="000A288E"/>
    <w:rsid w:val="000A4027"/>
    <w:rsid w:val="000A7AC0"/>
    <w:rsid w:val="000B3CC8"/>
    <w:rsid w:val="000C56F9"/>
    <w:rsid w:val="000C6827"/>
    <w:rsid w:val="000C719D"/>
    <w:rsid w:val="000D61C4"/>
    <w:rsid w:val="000E19C8"/>
    <w:rsid w:val="000F100E"/>
    <w:rsid w:val="000F2349"/>
    <w:rsid w:val="0010404C"/>
    <w:rsid w:val="001048BE"/>
    <w:rsid w:val="00104E3C"/>
    <w:rsid w:val="00111629"/>
    <w:rsid w:val="00114E70"/>
    <w:rsid w:val="00124E88"/>
    <w:rsid w:val="0012768B"/>
    <w:rsid w:val="00133B35"/>
    <w:rsid w:val="001538D2"/>
    <w:rsid w:val="001562F1"/>
    <w:rsid w:val="00156946"/>
    <w:rsid w:val="00167329"/>
    <w:rsid w:val="001674A9"/>
    <w:rsid w:val="001971F8"/>
    <w:rsid w:val="001A47F9"/>
    <w:rsid w:val="001B4AC1"/>
    <w:rsid w:val="001C28D8"/>
    <w:rsid w:val="001C6C34"/>
    <w:rsid w:val="001D4A7A"/>
    <w:rsid w:val="001D77B8"/>
    <w:rsid w:val="001E0250"/>
    <w:rsid w:val="001E6507"/>
    <w:rsid w:val="001F1E0E"/>
    <w:rsid w:val="001F2149"/>
    <w:rsid w:val="001F262D"/>
    <w:rsid w:val="001F503B"/>
    <w:rsid w:val="002006C4"/>
    <w:rsid w:val="002013E1"/>
    <w:rsid w:val="00202230"/>
    <w:rsid w:val="00217CDC"/>
    <w:rsid w:val="00224116"/>
    <w:rsid w:val="00237364"/>
    <w:rsid w:val="00237414"/>
    <w:rsid w:val="00237AA0"/>
    <w:rsid w:val="0024279F"/>
    <w:rsid w:val="00255175"/>
    <w:rsid w:val="0026184B"/>
    <w:rsid w:val="00274794"/>
    <w:rsid w:val="002760D5"/>
    <w:rsid w:val="00281FC9"/>
    <w:rsid w:val="002840C6"/>
    <w:rsid w:val="0028692B"/>
    <w:rsid w:val="00290A06"/>
    <w:rsid w:val="00295633"/>
    <w:rsid w:val="002958BF"/>
    <w:rsid w:val="002967F2"/>
    <w:rsid w:val="002A0C8F"/>
    <w:rsid w:val="002A39FA"/>
    <w:rsid w:val="002A3A6B"/>
    <w:rsid w:val="002B398F"/>
    <w:rsid w:val="002B750B"/>
    <w:rsid w:val="002C28D6"/>
    <w:rsid w:val="002C6FA6"/>
    <w:rsid w:val="002D12F1"/>
    <w:rsid w:val="002D40BF"/>
    <w:rsid w:val="002E766B"/>
    <w:rsid w:val="002F002B"/>
    <w:rsid w:val="002F2337"/>
    <w:rsid w:val="002F2BBD"/>
    <w:rsid w:val="002F3ED8"/>
    <w:rsid w:val="003016E6"/>
    <w:rsid w:val="00314FCE"/>
    <w:rsid w:val="00316547"/>
    <w:rsid w:val="0034350A"/>
    <w:rsid w:val="00350A3C"/>
    <w:rsid w:val="00350C8F"/>
    <w:rsid w:val="003710F6"/>
    <w:rsid w:val="003758C8"/>
    <w:rsid w:val="00376B13"/>
    <w:rsid w:val="00380639"/>
    <w:rsid w:val="00390498"/>
    <w:rsid w:val="003A092D"/>
    <w:rsid w:val="003A140F"/>
    <w:rsid w:val="003A3649"/>
    <w:rsid w:val="003A49F9"/>
    <w:rsid w:val="003A5333"/>
    <w:rsid w:val="003A6078"/>
    <w:rsid w:val="003A69FA"/>
    <w:rsid w:val="003B46FF"/>
    <w:rsid w:val="003B74B4"/>
    <w:rsid w:val="003C15BC"/>
    <w:rsid w:val="003C387C"/>
    <w:rsid w:val="003D5B43"/>
    <w:rsid w:val="003D72CF"/>
    <w:rsid w:val="003E091E"/>
    <w:rsid w:val="003F3321"/>
    <w:rsid w:val="004006F6"/>
    <w:rsid w:val="0040071A"/>
    <w:rsid w:val="004026E7"/>
    <w:rsid w:val="004070CB"/>
    <w:rsid w:val="00407CA9"/>
    <w:rsid w:val="00412525"/>
    <w:rsid w:val="00422E98"/>
    <w:rsid w:val="00424CF9"/>
    <w:rsid w:val="00430386"/>
    <w:rsid w:val="00434734"/>
    <w:rsid w:val="00464F05"/>
    <w:rsid w:val="00474610"/>
    <w:rsid w:val="004816FE"/>
    <w:rsid w:val="00487200"/>
    <w:rsid w:val="004902DC"/>
    <w:rsid w:val="0049638D"/>
    <w:rsid w:val="004A29B5"/>
    <w:rsid w:val="004A4ACE"/>
    <w:rsid w:val="004B28D0"/>
    <w:rsid w:val="004C18CA"/>
    <w:rsid w:val="004C744E"/>
    <w:rsid w:val="004E21BD"/>
    <w:rsid w:val="004F34D3"/>
    <w:rsid w:val="004F4574"/>
    <w:rsid w:val="004F7722"/>
    <w:rsid w:val="00514DD7"/>
    <w:rsid w:val="00520808"/>
    <w:rsid w:val="00521C90"/>
    <w:rsid w:val="0052407C"/>
    <w:rsid w:val="005266FD"/>
    <w:rsid w:val="005442A6"/>
    <w:rsid w:val="00546EE5"/>
    <w:rsid w:val="00552BC7"/>
    <w:rsid w:val="00562242"/>
    <w:rsid w:val="00564923"/>
    <w:rsid w:val="0057458F"/>
    <w:rsid w:val="00576ADC"/>
    <w:rsid w:val="00582FDD"/>
    <w:rsid w:val="00590243"/>
    <w:rsid w:val="005A06B8"/>
    <w:rsid w:val="005A15B5"/>
    <w:rsid w:val="005A1BAC"/>
    <w:rsid w:val="005A3010"/>
    <w:rsid w:val="005A77D8"/>
    <w:rsid w:val="005B0106"/>
    <w:rsid w:val="005E0AF8"/>
    <w:rsid w:val="00602423"/>
    <w:rsid w:val="00605A15"/>
    <w:rsid w:val="0061083C"/>
    <w:rsid w:val="00637E43"/>
    <w:rsid w:val="00643530"/>
    <w:rsid w:val="00660627"/>
    <w:rsid w:val="006638E6"/>
    <w:rsid w:val="006765E0"/>
    <w:rsid w:val="00683B15"/>
    <w:rsid w:val="00690F5E"/>
    <w:rsid w:val="00692225"/>
    <w:rsid w:val="00697298"/>
    <w:rsid w:val="00697C4E"/>
    <w:rsid w:val="006A04B8"/>
    <w:rsid w:val="006A148C"/>
    <w:rsid w:val="006A5E88"/>
    <w:rsid w:val="006B2631"/>
    <w:rsid w:val="006B3F40"/>
    <w:rsid w:val="006B465B"/>
    <w:rsid w:val="006B56C8"/>
    <w:rsid w:val="006D5DA7"/>
    <w:rsid w:val="006E362C"/>
    <w:rsid w:val="006F1588"/>
    <w:rsid w:val="006F2844"/>
    <w:rsid w:val="006F63FE"/>
    <w:rsid w:val="006F6A66"/>
    <w:rsid w:val="00705862"/>
    <w:rsid w:val="00716DDB"/>
    <w:rsid w:val="00721CDA"/>
    <w:rsid w:val="00722441"/>
    <w:rsid w:val="00722712"/>
    <w:rsid w:val="00737009"/>
    <w:rsid w:val="00743815"/>
    <w:rsid w:val="00754D90"/>
    <w:rsid w:val="00755026"/>
    <w:rsid w:val="00762809"/>
    <w:rsid w:val="007721C5"/>
    <w:rsid w:val="00791FBE"/>
    <w:rsid w:val="0079248A"/>
    <w:rsid w:val="00792496"/>
    <w:rsid w:val="00792676"/>
    <w:rsid w:val="007A2632"/>
    <w:rsid w:val="007A51B4"/>
    <w:rsid w:val="007A757A"/>
    <w:rsid w:val="007C62C8"/>
    <w:rsid w:val="007E1731"/>
    <w:rsid w:val="007E4D2F"/>
    <w:rsid w:val="007E5A00"/>
    <w:rsid w:val="007F40F3"/>
    <w:rsid w:val="007F48EF"/>
    <w:rsid w:val="00800AD0"/>
    <w:rsid w:val="00814BC5"/>
    <w:rsid w:val="00817DCD"/>
    <w:rsid w:val="008345E3"/>
    <w:rsid w:val="00834C2F"/>
    <w:rsid w:val="00842B2B"/>
    <w:rsid w:val="00851D5C"/>
    <w:rsid w:val="00866917"/>
    <w:rsid w:val="00875618"/>
    <w:rsid w:val="00880B78"/>
    <w:rsid w:val="00885D3F"/>
    <w:rsid w:val="008912F7"/>
    <w:rsid w:val="0089222D"/>
    <w:rsid w:val="008958A9"/>
    <w:rsid w:val="008B159C"/>
    <w:rsid w:val="008B26F7"/>
    <w:rsid w:val="008B27EE"/>
    <w:rsid w:val="008B56A4"/>
    <w:rsid w:val="008B5A4E"/>
    <w:rsid w:val="008B72FA"/>
    <w:rsid w:val="008C25A5"/>
    <w:rsid w:val="008C395E"/>
    <w:rsid w:val="008E48C9"/>
    <w:rsid w:val="008F009D"/>
    <w:rsid w:val="0090339A"/>
    <w:rsid w:val="00911687"/>
    <w:rsid w:val="009302BE"/>
    <w:rsid w:val="00931218"/>
    <w:rsid w:val="00934CE1"/>
    <w:rsid w:val="00943D75"/>
    <w:rsid w:val="00944DE3"/>
    <w:rsid w:val="00950CDB"/>
    <w:rsid w:val="0095601D"/>
    <w:rsid w:val="00957AC0"/>
    <w:rsid w:val="009621B5"/>
    <w:rsid w:val="00970EC4"/>
    <w:rsid w:val="0097219F"/>
    <w:rsid w:val="00972FE0"/>
    <w:rsid w:val="0097322C"/>
    <w:rsid w:val="009924C7"/>
    <w:rsid w:val="009A596E"/>
    <w:rsid w:val="009C5354"/>
    <w:rsid w:val="009D6868"/>
    <w:rsid w:val="009E0799"/>
    <w:rsid w:val="009E0EA6"/>
    <w:rsid w:val="009F4413"/>
    <w:rsid w:val="009F65DB"/>
    <w:rsid w:val="00A0037F"/>
    <w:rsid w:val="00A00896"/>
    <w:rsid w:val="00A02508"/>
    <w:rsid w:val="00A0649F"/>
    <w:rsid w:val="00A142D9"/>
    <w:rsid w:val="00A14718"/>
    <w:rsid w:val="00A25CBD"/>
    <w:rsid w:val="00A27D3B"/>
    <w:rsid w:val="00A37477"/>
    <w:rsid w:val="00A41E85"/>
    <w:rsid w:val="00A46D77"/>
    <w:rsid w:val="00A504BF"/>
    <w:rsid w:val="00A5257E"/>
    <w:rsid w:val="00A556DC"/>
    <w:rsid w:val="00A63CE3"/>
    <w:rsid w:val="00A654FB"/>
    <w:rsid w:val="00A725C0"/>
    <w:rsid w:val="00A75CAA"/>
    <w:rsid w:val="00A84054"/>
    <w:rsid w:val="00A907F0"/>
    <w:rsid w:val="00A91389"/>
    <w:rsid w:val="00A93163"/>
    <w:rsid w:val="00A93E36"/>
    <w:rsid w:val="00AC312B"/>
    <w:rsid w:val="00AD7856"/>
    <w:rsid w:val="00AE04D5"/>
    <w:rsid w:val="00AE5150"/>
    <w:rsid w:val="00AE7434"/>
    <w:rsid w:val="00AF53F5"/>
    <w:rsid w:val="00B2441B"/>
    <w:rsid w:val="00B3434F"/>
    <w:rsid w:val="00B46CD0"/>
    <w:rsid w:val="00B4786F"/>
    <w:rsid w:val="00B55C75"/>
    <w:rsid w:val="00B57E3C"/>
    <w:rsid w:val="00B60B36"/>
    <w:rsid w:val="00B65F87"/>
    <w:rsid w:val="00B72D70"/>
    <w:rsid w:val="00B74B8B"/>
    <w:rsid w:val="00B80545"/>
    <w:rsid w:val="00B84672"/>
    <w:rsid w:val="00B876BF"/>
    <w:rsid w:val="00B90883"/>
    <w:rsid w:val="00B953A0"/>
    <w:rsid w:val="00B96E48"/>
    <w:rsid w:val="00BA5066"/>
    <w:rsid w:val="00BB2E45"/>
    <w:rsid w:val="00BB3544"/>
    <w:rsid w:val="00BB42DC"/>
    <w:rsid w:val="00BB4F60"/>
    <w:rsid w:val="00BD3CBA"/>
    <w:rsid w:val="00BF02FA"/>
    <w:rsid w:val="00C02EDD"/>
    <w:rsid w:val="00C03B5F"/>
    <w:rsid w:val="00C048C1"/>
    <w:rsid w:val="00C161FB"/>
    <w:rsid w:val="00C177A5"/>
    <w:rsid w:val="00C26B2D"/>
    <w:rsid w:val="00C35CB5"/>
    <w:rsid w:val="00C375C2"/>
    <w:rsid w:val="00C517B7"/>
    <w:rsid w:val="00C90391"/>
    <w:rsid w:val="00C925A8"/>
    <w:rsid w:val="00C955BA"/>
    <w:rsid w:val="00CA08EF"/>
    <w:rsid w:val="00CA2370"/>
    <w:rsid w:val="00CB3F08"/>
    <w:rsid w:val="00CC50CB"/>
    <w:rsid w:val="00CC6012"/>
    <w:rsid w:val="00CC7245"/>
    <w:rsid w:val="00CD1A35"/>
    <w:rsid w:val="00CD2377"/>
    <w:rsid w:val="00CE56BC"/>
    <w:rsid w:val="00CF0509"/>
    <w:rsid w:val="00D11EF1"/>
    <w:rsid w:val="00D12405"/>
    <w:rsid w:val="00D1745E"/>
    <w:rsid w:val="00D2490E"/>
    <w:rsid w:val="00D24D94"/>
    <w:rsid w:val="00D3743C"/>
    <w:rsid w:val="00D40249"/>
    <w:rsid w:val="00D5296C"/>
    <w:rsid w:val="00D60334"/>
    <w:rsid w:val="00D7548D"/>
    <w:rsid w:val="00D9020A"/>
    <w:rsid w:val="00DA21C5"/>
    <w:rsid w:val="00DA3F5D"/>
    <w:rsid w:val="00DC3A90"/>
    <w:rsid w:val="00DC7C19"/>
    <w:rsid w:val="00DD1453"/>
    <w:rsid w:val="00DE0718"/>
    <w:rsid w:val="00DE08D9"/>
    <w:rsid w:val="00DE6428"/>
    <w:rsid w:val="00DF259B"/>
    <w:rsid w:val="00E06955"/>
    <w:rsid w:val="00E17935"/>
    <w:rsid w:val="00E224D4"/>
    <w:rsid w:val="00E22C59"/>
    <w:rsid w:val="00E32B68"/>
    <w:rsid w:val="00E37104"/>
    <w:rsid w:val="00E447EB"/>
    <w:rsid w:val="00E4557D"/>
    <w:rsid w:val="00E457DB"/>
    <w:rsid w:val="00E45DC6"/>
    <w:rsid w:val="00E50EDB"/>
    <w:rsid w:val="00E5157A"/>
    <w:rsid w:val="00E53857"/>
    <w:rsid w:val="00E5623F"/>
    <w:rsid w:val="00E600F5"/>
    <w:rsid w:val="00E732A2"/>
    <w:rsid w:val="00E73875"/>
    <w:rsid w:val="00E800AB"/>
    <w:rsid w:val="00EA023E"/>
    <w:rsid w:val="00EA1DD9"/>
    <w:rsid w:val="00EB1A45"/>
    <w:rsid w:val="00EC02ED"/>
    <w:rsid w:val="00EC0EA0"/>
    <w:rsid w:val="00EC7390"/>
    <w:rsid w:val="00ED4129"/>
    <w:rsid w:val="00ED4A9C"/>
    <w:rsid w:val="00ED566F"/>
    <w:rsid w:val="00F0132C"/>
    <w:rsid w:val="00F05FDF"/>
    <w:rsid w:val="00F066C2"/>
    <w:rsid w:val="00F172E5"/>
    <w:rsid w:val="00F21C65"/>
    <w:rsid w:val="00F23731"/>
    <w:rsid w:val="00F2547B"/>
    <w:rsid w:val="00F330D2"/>
    <w:rsid w:val="00F369F1"/>
    <w:rsid w:val="00F421F7"/>
    <w:rsid w:val="00F458D8"/>
    <w:rsid w:val="00F50E9E"/>
    <w:rsid w:val="00F5149D"/>
    <w:rsid w:val="00F61E95"/>
    <w:rsid w:val="00F61F78"/>
    <w:rsid w:val="00F67AC9"/>
    <w:rsid w:val="00F91BAE"/>
    <w:rsid w:val="00FA43AD"/>
    <w:rsid w:val="00FA44A2"/>
    <w:rsid w:val="00FA6D70"/>
    <w:rsid w:val="00FB062A"/>
    <w:rsid w:val="00FB1C0F"/>
    <w:rsid w:val="00FB40B4"/>
    <w:rsid w:val="00FB7DB5"/>
    <w:rsid w:val="00FC1776"/>
    <w:rsid w:val="00FC608A"/>
    <w:rsid w:val="00FD0E0B"/>
    <w:rsid w:val="00FD700A"/>
    <w:rsid w:val="00FF2169"/>
    <w:rsid w:val="00FF4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75CAA"/>
    <w:pPr>
      <w:widowControl w:val="0"/>
      <w:spacing w:line="240" w:lineRule="auto"/>
    </w:pPr>
    <w:rPr>
      <w:rFonts w:ascii="方正仿宋_GBK" w:eastAsia="方正仿宋_GBK" w:hAnsi="Times New Roman" w:cs="Times New Roman"/>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75CAA"/>
    <w:pPr>
      <w:spacing w:after="120"/>
    </w:pPr>
    <w:rPr>
      <w:rFonts w:eastAsia="仿宋"/>
    </w:rPr>
  </w:style>
  <w:style w:type="character" w:customStyle="1" w:styleId="Char">
    <w:name w:val="正文文本 Char"/>
    <w:basedOn w:val="a0"/>
    <w:link w:val="a3"/>
    <w:rsid w:val="00A75CAA"/>
    <w:rPr>
      <w:rFonts w:ascii="方正仿宋_GBK" w:eastAsia="仿宋" w:hAnsi="Times New Roman" w:cs="Times New Roman"/>
      <w:sz w:val="32"/>
      <w:szCs w:val="32"/>
    </w:rPr>
  </w:style>
  <w:style w:type="paragraph" w:styleId="1">
    <w:name w:val="toc 1"/>
    <w:basedOn w:val="a"/>
    <w:next w:val="a"/>
    <w:autoRedefine/>
    <w:uiPriority w:val="39"/>
    <w:semiHidden/>
    <w:unhideWhenUsed/>
    <w:rsid w:val="00A75CAA"/>
  </w:style>
  <w:style w:type="paragraph" w:styleId="a4">
    <w:name w:val="header"/>
    <w:basedOn w:val="a"/>
    <w:link w:val="Char0"/>
    <w:uiPriority w:val="99"/>
    <w:semiHidden/>
    <w:unhideWhenUsed/>
    <w:rsid w:val="000847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847B7"/>
    <w:rPr>
      <w:rFonts w:ascii="方正仿宋_GBK" w:eastAsia="方正仿宋_GBK" w:hAnsi="Times New Roman" w:cs="Times New Roman"/>
      <w:sz w:val="18"/>
      <w:szCs w:val="18"/>
    </w:rPr>
  </w:style>
  <w:style w:type="paragraph" w:styleId="a5">
    <w:name w:val="footer"/>
    <w:basedOn w:val="a"/>
    <w:link w:val="Char1"/>
    <w:uiPriority w:val="99"/>
    <w:semiHidden/>
    <w:unhideWhenUsed/>
    <w:rsid w:val="000847B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847B7"/>
    <w:rPr>
      <w:rFonts w:ascii="方正仿宋_GBK" w:eastAsia="方正仿宋_GBK" w:hAnsi="Times New Roman" w:cs="Times New Roman"/>
      <w:sz w:val="18"/>
      <w:szCs w:val="18"/>
    </w:rPr>
  </w:style>
  <w:style w:type="table" w:styleId="a6">
    <w:name w:val="Table Grid"/>
    <w:basedOn w:val="a1"/>
    <w:uiPriority w:val="59"/>
    <w:qFormat/>
    <w:rsid w:val="000847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957</Words>
  <Characters>5460</Characters>
  <Application>Microsoft Office Word</Application>
  <DocSecurity>0</DocSecurity>
  <Lines>45</Lines>
  <Paragraphs>12</Paragraphs>
  <ScaleCrop>false</ScaleCrop>
  <Company>Microsoft</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中心领导:王荣</dc:creator>
  <cp:lastModifiedBy>中心领导:王荣</cp:lastModifiedBy>
  <cp:revision>3</cp:revision>
  <dcterms:created xsi:type="dcterms:W3CDTF">2024-04-25T03:35:00Z</dcterms:created>
  <dcterms:modified xsi:type="dcterms:W3CDTF">2024-04-25T03:58:00Z</dcterms:modified>
</cp:coreProperties>
</file>