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9" w:rsidRPr="00A5463D" w:rsidRDefault="00F553A9" w:rsidP="00F553A9">
      <w:pPr>
        <w:spacing w:line="560" w:lineRule="exact"/>
        <w:ind w:leftChars="420" w:left="1322" w:hangingChars="100" w:hanging="440"/>
        <w:jc w:val="left"/>
        <w:rPr>
          <w:rFonts w:ascii="方正小标宋简体" w:eastAsia="方正小标宋简体" w:hAnsi="文泉驿微米黑" w:cs="方正小标宋简体" w:hint="eastAsia"/>
          <w:color w:val="000000"/>
          <w:sz w:val="44"/>
          <w:szCs w:val="44"/>
          <w:shd w:val="clear" w:color="auto" w:fill="FFFFFF"/>
        </w:rPr>
      </w:pPr>
      <w:r w:rsidRPr="00A5463D">
        <w:rPr>
          <w:rFonts w:ascii="方正小标宋简体" w:eastAsia="方正小标宋简体" w:hAnsi="文泉驿微米黑" w:cs="方正小标宋简体" w:hint="eastAsia"/>
          <w:color w:val="000000"/>
          <w:sz w:val="44"/>
          <w:szCs w:val="44"/>
          <w:shd w:val="clear" w:color="auto" w:fill="FFFFFF"/>
        </w:rPr>
        <w:t>巴中经开区金融街组团用地控制性详</w:t>
      </w:r>
      <w:bookmarkStart w:id="0" w:name="_GoBack"/>
      <w:bookmarkEnd w:id="0"/>
      <w:r w:rsidRPr="00A5463D">
        <w:rPr>
          <w:rFonts w:ascii="方正小标宋简体" w:eastAsia="方正小标宋简体" w:hAnsi="文泉驿微米黑" w:cs="方正小标宋简体" w:hint="eastAsia"/>
          <w:color w:val="000000"/>
          <w:sz w:val="44"/>
          <w:szCs w:val="44"/>
          <w:shd w:val="clear" w:color="auto" w:fill="FFFFFF"/>
        </w:rPr>
        <w:t>细规划调整论证报告及调整方案</w:t>
      </w:r>
    </w:p>
    <w:p w:rsidR="00F553A9" w:rsidRPr="00A5463D" w:rsidRDefault="00F553A9" w:rsidP="00F553A9">
      <w:pPr>
        <w:spacing w:line="560" w:lineRule="exact"/>
        <w:ind w:firstLineChars="200" w:firstLine="880"/>
        <w:jc w:val="center"/>
        <w:rPr>
          <w:rFonts w:ascii="方正小标宋简体" w:eastAsia="方正小标宋简体" w:hAnsi="文泉驿微米黑" w:cs="方正小标宋简体" w:hint="eastAsia"/>
          <w:color w:val="000000"/>
          <w:sz w:val="44"/>
          <w:szCs w:val="44"/>
          <w:shd w:val="clear" w:color="auto" w:fill="FFFFFF"/>
        </w:rPr>
      </w:pPr>
    </w:p>
    <w:p w:rsidR="00F553A9" w:rsidRPr="00A5463D" w:rsidRDefault="00F553A9" w:rsidP="00F553A9">
      <w:pPr>
        <w:spacing w:line="560" w:lineRule="exact"/>
        <w:ind w:firstLineChars="200" w:firstLine="640"/>
        <w:rPr>
          <w:rFonts w:eastAsia="方正黑体简体" w:hint="eastAsia"/>
          <w:bCs/>
          <w:sz w:val="32"/>
          <w:szCs w:val="32"/>
        </w:rPr>
      </w:pPr>
      <w:r w:rsidRPr="00A5463D">
        <w:rPr>
          <w:rFonts w:eastAsia="方正黑体简体" w:hint="eastAsia"/>
          <w:bCs/>
          <w:sz w:val="32"/>
          <w:szCs w:val="32"/>
        </w:rPr>
        <w:t>一、基本情况</w:t>
      </w:r>
    </w:p>
    <w:p w:rsidR="00F553A9" w:rsidRPr="00A5463D" w:rsidRDefault="00F553A9" w:rsidP="00F553A9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A5463D">
        <w:rPr>
          <w:rFonts w:eastAsia="方正仿宋_GBK"/>
          <w:color w:val="000000"/>
          <w:sz w:val="32"/>
          <w:szCs w:val="32"/>
        </w:rPr>
        <w:t>推动项目建设，盘活闲置土地，促进经济发展</w:t>
      </w:r>
      <w:r w:rsidRPr="00A5463D">
        <w:rPr>
          <w:rFonts w:eastAsia="方正仿宋_GBK" w:hint="eastAsia"/>
          <w:color w:val="000000"/>
          <w:sz w:val="32"/>
          <w:szCs w:val="32"/>
        </w:rPr>
        <w:t>，结合企业申请和相关文件规定，对</w:t>
      </w:r>
      <w:r w:rsidRPr="00A5463D">
        <w:rPr>
          <w:rFonts w:eastAsia="方正仿宋_GBK"/>
          <w:color w:val="000000"/>
          <w:sz w:val="32"/>
          <w:szCs w:val="32"/>
        </w:rPr>
        <w:t>金融街组团用地控制性详细规划</w:t>
      </w:r>
      <w:r w:rsidRPr="00A5463D">
        <w:rPr>
          <w:rFonts w:eastAsia="方正仿宋_GBK" w:hint="eastAsia"/>
          <w:color w:val="000000"/>
          <w:sz w:val="32"/>
          <w:szCs w:val="32"/>
        </w:rPr>
        <w:t>进行调整，</w:t>
      </w:r>
      <w:r w:rsidRPr="00A5463D">
        <w:rPr>
          <w:rFonts w:eastAsia="方正仿宋_GBK"/>
          <w:color w:val="000000"/>
          <w:sz w:val="32"/>
          <w:szCs w:val="32"/>
        </w:rPr>
        <w:t>以适应发展</w:t>
      </w:r>
      <w:r w:rsidRPr="00A5463D">
        <w:rPr>
          <w:rFonts w:eastAsia="方正仿宋_GBK" w:hint="eastAsia"/>
          <w:color w:val="000000"/>
          <w:sz w:val="32"/>
          <w:szCs w:val="32"/>
        </w:rPr>
        <w:t>需</w:t>
      </w:r>
      <w:r w:rsidRPr="00A5463D">
        <w:rPr>
          <w:rFonts w:eastAsia="方正仿宋_GBK"/>
          <w:color w:val="000000"/>
          <w:sz w:val="32"/>
          <w:szCs w:val="32"/>
        </w:rPr>
        <w:t>求。</w:t>
      </w:r>
    </w:p>
    <w:p w:rsidR="00F553A9" w:rsidRPr="00A5463D" w:rsidRDefault="00F553A9" w:rsidP="00F553A9">
      <w:pPr>
        <w:spacing w:line="546" w:lineRule="exact"/>
        <w:ind w:firstLineChars="200" w:firstLine="640"/>
        <w:rPr>
          <w:rFonts w:eastAsia="方正黑体简体"/>
          <w:bCs/>
          <w:sz w:val="32"/>
          <w:szCs w:val="32"/>
        </w:rPr>
      </w:pPr>
      <w:r w:rsidRPr="00A5463D">
        <w:rPr>
          <w:rFonts w:eastAsia="方正黑体简体" w:hint="eastAsia"/>
          <w:bCs/>
          <w:sz w:val="32"/>
          <w:szCs w:val="32"/>
        </w:rPr>
        <w:t>二、修改内容</w:t>
      </w:r>
    </w:p>
    <w:p w:rsidR="00F553A9" w:rsidRPr="00A5463D" w:rsidRDefault="00F553A9" w:rsidP="00F553A9">
      <w:pPr>
        <w:widowControl/>
        <w:spacing w:line="580" w:lineRule="exact"/>
        <w:ind w:firstLineChars="200" w:firstLine="640"/>
        <w:outlineLvl w:val="0"/>
        <w:rPr>
          <w:rFonts w:eastAsia="方正仿宋_GBK"/>
          <w:color w:val="000000"/>
          <w:kern w:val="0"/>
          <w:sz w:val="32"/>
          <w:szCs w:val="32"/>
        </w:rPr>
      </w:pPr>
      <w:bookmarkStart w:id="1" w:name="_Toc3314"/>
      <w:bookmarkStart w:id="2" w:name="_Toc25299"/>
      <w:bookmarkStart w:id="3" w:name="_Toc17058"/>
      <w:r w:rsidRPr="00A5463D">
        <w:rPr>
          <w:rFonts w:eastAsia="方正仿宋_GBK"/>
          <w:b/>
          <w:bCs/>
          <w:color w:val="000000"/>
          <w:kern w:val="0"/>
          <w:sz w:val="32"/>
          <w:szCs w:val="32"/>
        </w:rPr>
        <w:t>一是用地性质调整：</w:t>
      </w:r>
      <w:r w:rsidRPr="00A5463D">
        <w:rPr>
          <w:rFonts w:eastAsia="方正仿宋_GBK"/>
          <w:color w:val="000000"/>
          <w:kern w:val="0"/>
          <w:sz w:val="32"/>
          <w:szCs w:val="32"/>
        </w:rPr>
        <w:t>用地性质由商业用地调整为商住用地。</w:t>
      </w:r>
      <w:bookmarkEnd w:id="1"/>
      <w:bookmarkEnd w:id="2"/>
      <w:bookmarkEnd w:id="3"/>
    </w:p>
    <w:p w:rsidR="00F553A9" w:rsidRPr="00A5463D" w:rsidRDefault="00F553A9" w:rsidP="00F553A9">
      <w:pPr>
        <w:widowControl/>
        <w:spacing w:line="580" w:lineRule="exact"/>
        <w:ind w:firstLineChars="200" w:firstLine="640"/>
        <w:outlineLvl w:val="0"/>
        <w:rPr>
          <w:rFonts w:eastAsia="方正仿宋_GBK"/>
          <w:color w:val="000000"/>
          <w:sz w:val="32"/>
          <w:szCs w:val="32"/>
        </w:rPr>
      </w:pPr>
      <w:bookmarkStart w:id="4" w:name="_Toc926"/>
      <w:bookmarkStart w:id="5" w:name="_Toc16484"/>
      <w:bookmarkStart w:id="6" w:name="_Toc26519"/>
      <w:r w:rsidRPr="00A5463D">
        <w:rPr>
          <w:rFonts w:eastAsia="方正仿宋_GBK"/>
          <w:b/>
          <w:bCs/>
          <w:color w:val="000000"/>
          <w:kern w:val="0"/>
          <w:sz w:val="32"/>
          <w:szCs w:val="32"/>
        </w:rPr>
        <w:t>二是用地范围调整：</w:t>
      </w:r>
      <w:r w:rsidRPr="00A5463D">
        <w:rPr>
          <w:rFonts w:eastAsia="方正仿宋_GBK"/>
          <w:color w:val="000000"/>
          <w:kern w:val="0"/>
          <w:sz w:val="32"/>
          <w:szCs w:val="32"/>
        </w:rPr>
        <w:t>将</w:t>
      </w:r>
      <w:r w:rsidRPr="00A5463D">
        <w:rPr>
          <w:rFonts w:eastAsia="方正仿宋_GBK"/>
          <w:color w:val="000000"/>
          <w:kern w:val="0"/>
          <w:sz w:val="32"/>
          <w:szCs w:val="32"/>
        </w:rPr>
        <w:t>G7-01-02</w:t>
      </w:r>
      <w:r w:rsidRPr="00A5463D">
        <w:rPr>
          <w:rFonts w:eastAsia="方正仿宋_GBK"/>
          <w:color w:val="000000"/>
          <w:kern w:val="0"/>
          <w:sz w:val="32"/>
          <w:szCs w:val="32"/>
        </w:rPr>
        <w:t>、</w:t>
      </w:r>
      <w:r w:rsidRPr="00A5463D">
        <w:rPr>
          <w:rFonts w:eastAsia="方正仿宋_GBK"/>
          <w:color w:val="000000"/>
          <w:kern w:val="0"/>
          <w:sz w:val="32"/>
          <w:szCs w:val="32"/>
        </w:rPr>
        <w:t>G7-03</w:t>
      </w:r>
      <w:r w:rsidRPr="00A5463D">
        <w:rPr>
          <w:rFonts w:eastAsia="方正仿宋_GBK"/>
          <w:color w:val="000000"/>
          <w:kern w:val="0"/>
          <w:sz w:val="32"/>
          <w:szCs w:val="32"/>
        </w:rPr>
        <w:t>、</w:t>
      </w:r>
      <w:r w:rsidRPr="00A5463D">
        <w:rPr>
          <w:rFonts w:eastAsia="方正仿宋_GBK"/>
          <w:color w:val="000000"/>
          <w:kern w:val="0"/>
          <w:sz w:val="32"/>
          <w:szCs w:val="32"/>
        </w:rPr>
        <w:t>G7-04</w:t>
      </w:r>
      <w:r w:rsidRPr="00A5463D">
        <w:rPr>
          <w:rFonts w:eastAsia="方正仿宋_GBK"/>
          <w:color w:val="000000"/>
          <w:kern w:val="0"/>
          <w:sz w:val="32"/>
          <w:szCs w:val="32"/>
        </w:rPr>
        <w:t>和</w:t>
      </w:r>
      <w:r w:rsidRPr="00A5463D">
        <w:rPr>
          <w:rFonts w:eastAsia="方正仿宋_GBK"/>
          <w:color w:val="000000"/>
          <w:kern w:val="0"/>
          <w:sz w:val="32"/>
          <w:szCs w:val="32"/>
        </w:rPr>
        <w:t>G7-05</w:t>
      </w:r>
      <w:proofErr w:type="gramStart"/>
      <w:r w:rsidRPr="00A5463D">
        <w:rPr>
          <w:rFonts w:eastAsia="方正仿宋_GBK"/>
          <w:color w:val="000000"/>
          <w:kern w:val="0"/>
          <w:sz w:val="32"/>
          <w:szCs w:val="32"/>
        </w:rPr>
        <w:t>四</w:t>
      </w:r>
      <w:proofErr w:type="gramEnd"/>
      <w:r w:rsidRPr="00A5463D">
        <w:rPr>
          <w:rFonts w:eastAsia="方正仿宋_GBK"/>
          <w:color w:val="000000"/>
          <w:kern w:val="0"/>
          <w:sz w:val="32"/>
          <w:szCs w:val="32"/>
        </w:rPr>
        <w:t>块地合并为</w:t>
      </w:r>
      <w:r w:rsidRPr="00A5463D">
        <w:rPr>
          <w:rFonts w:eastAsia="方正仿宋_GBK"/>
          <w:color w:val="000000"/>
          <w:kern w:val="0"/>
          <w:sz w:val="32"/>
          <w:szCs w:val="32"/>
        </w:rPr>
        <w:t>G7-03</w:t>
      </w:r>
      <w:r w:rsidRPr="00A5463D">
        <w:rPr>
          <w:rFonts w:eastAsia="方正仿宋_GBK"/>
          <w:color w:val="000000"/>
          <w:kern w:val="0"/>
          <w:sz w:val="32"/>
          <w:szCs w:val="32"/>
        </w:rPr>
        <w:t>、</w:t>
      </w:r>
      <w:r w:rsidRPr="00A5463D">
        <w:rPr>
          <w:rFonts w:eastAsia="方正仿宋_GBK"/>
          <w:color w:val="000000"/>
          <w:kern w:val="0"/>
          <w:sz w:val="32"/>
          <w:szCs w:val="32"/>
        </w:rPr>
        <w:t>G7-05</w:t>
      </w:r>
      <w:r w:rsidRPr="00A5463D">
        <w:rPr>
          <w:rFonts w:eastAsia="方正仿宋_GBK"/>
          <w:color w:val="000000"/>
          <w:kern w:val="0"/>
          <w:sz w:val="32"/>
          <w:szCs w:val="32"/>
        </w:rPr>
        <w:t>，总用地面积保</w:t>
      </w:r>
      <w:r w:rsidRPr="00A5463D">
        <w:rPr>
          <w:rFonts w:eastAsia="方正仿宋_GBK"/>
          <w:color w:val="000000"/>
          <w:sz w:val="32"/>
          <w:szCs w:val="32"/>
        </w:rPr>
        <w:t>持</w:t>
      </w:r>
      <w:r w:rsidRPr="00A5463D">
        <w:rPr>
          <w:rFonts w:eastAsia="方正仿宋_GBK"/>
          <w:color w:val="000000"/>
          <w:sz w:val="32"/>
          <w:szCs w:val="32"/>
        </w:rPr>
        <w:t>57313.19</w:t>
      </w:r>
      <w:r w:rsidRPr="00A5463D">
        <w:rPr>
          <w:rFonts w:eastAsia="方正仿宋_GBK"/>
          <w:color w:val="000000"/>
          <w:sz w:val="32"/>
          <w:szCs w:val="32"/>
        </w:rPr>
        <w:t>㎡（</w:t>
      </w:r>
      <w:r w:rsidRPr="00A5463D">
        <w:rPr>
          <w:rFonts w:eastAsia="方正仿宋_GBK"/>
          <w:color w:val="000000"/>
          <w:sz w:val="32"/>
          <w:szCs w:val="32"/>
        </w:rPr>
        <w:t>85.97</w:t>
      </w:r>
      <w:r w:rsidRPr="00A5463D">
        <w:rPr>
          <w:rFonts w:eastAsia="方正仿宋_GBK"/>
          <w:color w:val="000000"/>
          <w:sz w:val="32"/>
          <w:szCs w:val="32"/>
        </w:rPr>
        <w:t>亩）不变。</w:t>
      </w:r>
      <w:bookmarkEnd w:id="4"/>
      <w:bookmarkEnd w:id="5"/>
      <w:bookmarkEnd w:id="6"/>
    </w:p>
    <w:p w:rsidR="00F553A9" w:rsidRPr="00A5463D" w:rsidRDefault="00F553A9" w:rsidP="00F553A9">
      <w:pPr>
        <w:widowControl/>
        <w:spacing w:line="580" w:lineRule="exact"/>
        <w:ind w:firstLineChars="200" w:firstLine="640"/>
        <w:outlineLvl w:val="0"/>
        <w:rPr>
          <w:rFonts w:eastAsia="方正仿宋_GBK"/>
          <w:color w:val="000000"/>
          <w:kern w:val="0"/>
          <w:sz w:val="32"/>
          <w:szCs w:val="32"/>
        </w:rPr>
      </w:pPr>
      <w:bookmarkStart w:id="7" w:name="_Toc26039"/>
      <w:bookmarkStart w:id="8" w:name="_Toc18899"/>
      <w:bookmarkStart w:id="9" w:name="_Toc24476"/>
      <w:r w:rsidRPr="00A5463D">
        <w:rPr>
          <w:rFonts w:eastAsia="方正仿宋_GBK"/>
          <w:b/>
          <w:bCs/>
          <w:color w:val="000000"/>
          <w:kern w:val="0"/>
          <w:sz w:val="32"/>
          <w:szCs w:val="32"/>
        </w:rPr>
        <w:t>三是用地指标调整：</w:t>
      </w:r>
      <w:r w:rsidRPr="00A5463D">
        <w:rPr>
          <w:rFonts w:eastAsia="方正仿宋_GBK"/>
          <w:color w:val="000000"/>
          <w:kern w:val="0"/>
          <w:sz w:val="32"/>
          <w:szCs w:val="32"/>
        </w:rPr>
        <w:t>调整前</w:t>
      </w:r>
      <w:r w:rsidRPr="00A5463D">
        <w:rPr>
          <w:rFonts w:eastAsia="方正仿宋_GBK"/>
          <w:color w:val="000000"/>
          <w:kern w:val="0"/>
          <w:sz w:val="32"/>
          <w:szCs w:val="32"/>
        </w:rPr>
        <w:t>4</w:t>
      </w:r>
      <w:r w:rsidRPr="00A5463D">
        <w:rPr>
          <w:rFonts w:eastAsia="方正仿宋_GBK"/>
          <w:color w:val="000000"/>
          <w:kern w:val="0"/>
          <w:sz w:val="32"/>
          <w:szCs w:val="32"/>
        </w:rPr>
        <w:t>宗地综合容积率</w:t>
      </w:r>
      <w:r w:rsidRPr="00A5463D">
        <w:rPr>
          <w:rFonts w:eastAsia="方正仿宋_GBK"/>
          <w:color w:val="000000"/>
          <w:kern w:val="0"/>
          <w:sz w:val="32"/>
          <w:szCs w:val="32"/>
        </w:rPr>
        <w:t>3.19</w:t>
      </w:r>
      <w:r w:rsidRPr="00A5463D">
        <w:rPr>
          <w:rFonts w:eastAsia="方正仿宋_GBK"/>
          <w:color w:val="000000"/>
          <w:kern w:val="0"/>
          <w:sz w:val="32"/>
          <w:szCs w:val="32"/>
        </w:rPr>
        <w:t>，调整后综合容积率</w:t>
      </w:r>
      <w:r w:rsidRPr="00A5463D">
        <w:rPr>
          <w:rFonts w:eastAsia="方正仿宋_GBK" w:hint="eastAsia"/>
          <w:color w:val="000000"/>
          <w:kern w:val="0"/>
          <w:sz w:val="32"/>
          <w:szCs w:val="32"/>
        </w:rPr>
        <w:t>3.0</w:t>
      </w:r>
      <w:r w:rsidRPr="00A5463D">
        <w:rPr>
          <w:rFonts w:eastAsia="方正仿宋_GBK"/>
          <w:color w:val="000000"/>
          <w:kern w:val="0"/>
          <w:sz w:val="32"/>
          <w:szCs w:val="32"/>
        </w:rPr>
        <w:t>，减少</w:t>
      </w:r>
      <w:r w:rsidRPr="00A5463D">
        <w:rPr>
          <w:rFonts w:eastAsia="方正仿宋_GBK"/>
          <w:color w:val="000000"/>
          <w:kern w:val="0"/>
          <w:sz w:val="32"/>
          <w:szCs w:val="32"/>
        </w:rPr>
        <w:t>0.</w:t>
      </w:r>
      <w:r w:rsidRPr="00A5463D">
        <w:rPr>
          <w:rFonts w:eastAsia="方正仿宋_GBK" w:hint="eastAsia"/>
          <w:color w:val="000000"/>
          <w:kern w:val="0"/>
          <w:sz w:val="32"/>
          <w:szCs w:val="32"/>
        </w:rPr>
        <w:t>19</w:t>
      </w:r>
      <w:r w:rsidRPr="00A5463D">
        <w:rPr>
          <w:rFonts w:eastAsia="方正仿宋_GBK"/>
          <w:color w:val="000000"/>
          <w:kern w:val="0"/>
          <w:sz w:val="32"/>
          <w:szCs w:val="32"/>
        </w:rPr>
        <w:t>，商业占比从</w:t>
      </w:r>
      <w:r w:rsidRPr="00A5463D">
        <w:rPr>
          <w:rFonts w:eastAsia="方正仿宋_GBK"/>
          <w:color w:val="000000"/>
          <w:kern w:val="0"/>
          <w:sz w:val="32"/>
          <w:szCs w:val="32"/>
        </w:rPr>
        <w:t>100%</w:t>
      </w:r>
      <w:r w:rsidRPr="00A5463D">
        <w:rPr>
          <w:rFonts w:eastAsia="方正仿宋_GBK"/>
          <w:color w:val="000000"/>
          <w:kern w:val="0"/>
          <w:sz w:val="32"/>
          <w:szCs w:val="32"/>
        </w:rPr>
        <w:t>调整为</w:t>
      </w:r>
      <w:r w:rsidRPr="00A5463D">
        <w:rPr>
          <w:rFonts w:eastAsia="方正仿宋_GBK"/>
          <w:color w:val="000000"/>
          <w:sz w:val="32"/>
          <w:szCs w:val="32"/>
        </w:rPr>
        <w:t>38%</w:t>
      </w:r>
      <w:r w:rsidRPr="00A5463D">
        <w:rPr>
          <w:rFonts w:eastAsia="方正仿宋_GBK"/>
          <w:color w:val="000000"/>
          <w:sz w:val="32"/>
          <w:szCs w:val="32"/>
        </w:rPr>
        <w:t>，</w:t>
      </w:r>
      <w:r w:rsidRPr="00A5463D">
        <w:rPr>
          <w:rFonts w:eastAsia="方正仿宋_GBK"/>
          <w:color w:val="000000"/>
          <w:kern w:val="0"/>
          <w:sz w:val="32"/>
          <w:szCs w:val="32"/>
        </w:rPr>
        <w:t>建筑密度从</w:t>
      </w:r>
      <w:r w:rsidRPr="00A5463D">
        <w:rPr>
          <w:rFonts w:eastAsia="方正仿宋_GBK"/>
          <w:color w:val="000000"/>
          <w:kern w:val="0"/>
          <w:sz w:val="32"/>
          <w:szCs w:val="32"/>
        </w:rPr>
        <w:t>45%</w:t>
      </w:r>
      <w:r w:rsidRPr="00A5463D">
        <w:rPr>
          <w:rFonts w:eastAsia="方正仿宋_GBK"/>
          <w:color w:val="000000"/>
          <w:kern w:val="0"/>
          <w:sz w:val="32"/>
          <w:szCs w:val="32"/>
        </w:rPr>
        <w:t>调整为</w:t>
      </w:r>
      <w:r w:rsidRPr="00A5463D">
        <w:rPr>
          <w:rFonts w:eastAsia="方正仿宋_GBK"/>
          <w:color w:val="000000"/>
          <w:kern w:val="0"/>
          <w:sz w:val="32"/>
          <w:szCs w:val="32"/>
        </w:rPr>
        <w:t>35%</w:t>
      </w:r>
      <w:r w:rsidRPr="00A5463D">
        <w:rPr>
          <w:rFonts w:eastAsia="方正仿宋_GBK"/>
          <w:color w:val="000000"/>
          <w:sz w:val="32"/>
          <w:szCs w:val="32"/>
        </w:rPr>
        <w:t>，绿地率从</w:t>
      </w:r>
      <w:r w:rsidRPr="00A5463D">
        <w:rPr>
          <w:rFonts w:eastAsia="方正仿宋_GBK"/>
          <w:color w:val="000000"/>
          <w:sz w:val="32"/>
          <w:szCs w:val="32"/>
        </w:rPr>
        <w:t>25%</w:t>
      </w:r>
      <w:r w:rsidRPr="00A5463D">
        <w:rPr>
          <w:rFonts w:eastAsia="方正仿宋_GBK"/>
          <w:color w:val="000000"/>
          <w:sz w:val="32"/>
          <w:szCs w:val="32"/>
        </w:rPr>
        <w:t>调整为</w:t>
      </w:r>
      <w:r w:rsidRPr="00A5463D">
        <w:rPr>
          <w:rFonts w:eastAsia="方正仿宋_GBK"/>
          <w:color w:val="000000"/>
          <w:sz w:val="32"/>
          <w:szCs w:val="32"/>
        </w:rPr>
        <w:t>30%</w:t>
      </w:r>
      <w:r w:rsidRPr="00A5463D">
        <w:rPr>
          <w:rFonts w:eastAsia="方正仿宋_GBK"/>
          <w:color w:val="000000"/>
          <w:sz w:val="32"/>
          <w:szCs w:val="32"/>
        </w:rPr>
        <w:t>，</w:t>
      </w:r>
      <w:r w:rsidRPr="00A5463D">
        <w:rPr>
          <w:rFonts w:eastAsia="方正仿宋_GBK"/>
          <w:color w:val="000000"/>
          <w:kern w:val="0"/>
          <w:sz w:val="32"/>
          <w:szCs w:val="32"/>
        </w:rPr>
        <w:t>建筑限高由</w:t>
      </w:r>
      <w:r w:rsidRPr="00A5463D">
        <w:rPr>
          <w:rFonts w:eastAsia="方正仿宋_GBK"/>
          <w:color w:val="000000"/>
          <w:kern w:val="0"/>
          <w:sz w:val="32"/>
          <w:szCs w:val="32"/>
        </w:rPr>
        <w:t>120M</w:t>
      </w:r>
      <w:r w:rsidRPr="00A5463D">
        <w:rPr>
          <w:rFonts w:eastAsia="方正仿宋_GBK"/>
          <w:color w:val="000000"/>
          <w:kern w:val="0"/>
          <w:sz w:val="32"/>
          <w:szCs w:val="32"/>
        </w:rPr>
        <w:t>调整为</w:t>
      </w:r>
      <w:r w:rsidRPr="00A5463D">
        <w:rPr>
          <w:rFonts w:eastAsia="方正仿宋_GBK"/>
          <w:color w:val="000000"/>
          <w:kern w:val="0"/>
          <w:sz w:val="32"/>
          <w:szCs w:val="32"/>
        </w:rPr>
        <w:t>80M</w:t>
      </w:r>
      <w:r w:rsidRPr="00A5463D">
        <w:rPr>
          <w:rFonts w:eastAsia="方正仿宋_GBK"/>
          <w:color w:val="000000"/>
          <w:kern w:val="0"/>
          <w:sz w:val="32"/>
          <w:szCs w:val="32"/>
        </w:rPr>
        <w:t>，小区增加配建幼儿园。</w:t>
      </w:r>
      <w:bookmarkEnd w:id="7"/>
      <w:bookmarkEnd w:id="8"/>
      <w:bookmarkEnd w:id="9"/>
    </w:p>
    <w:p w:rsidR="00F553A9" w:rsidRPr="00A5463D" w:rsidRDefault="00F553A9" w:rsidP="00F553A9">
      <w:pPr>
        <w:tabs>
          <w:tab w:val="center" w:pos="4153"/>
          <w:tab w:val="right" w:pos="8306"/>
        </w:tabs>
        <w:snapToGrid w:val="0"/>
        <w:ind w:firstLineChars="200" w:firstLine="360"/>
        <w:rPr>
          <w:rFonts w:eastAsia="方正黑体简体" w:hint="eastAsia"/>
          <w:bCs/>
          <w:sz w:val="32"/>
          <w:szCs w:val="32"/>
        </w:rPr>
      </w:pPr>
      <w:r>
        <w:rPr>
          <w:rFonts w:ascii="Calibri" w:hAnsi="Calibri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0F13885" wp14:editId="4111F54C">
            <wp:simplePos x="0" y="0"/>
            <wp:positionH relativeFrom="column">
              <wp:posOffset>-205105</wp:posOffset>
            </wp:positionH>
            <wp:positionV relativeFrom="paragraph">
              <wp:posOffset>483870</wp:posOffset>
            </wp:positionV>
            <wp:extent cx="5913755" cy="2134235"/>
            <wp:effectExtent l="0" t="0" r="0" b="0"/>
            <wp:wrapTopAndBottom/>
            <wp:docPr id="2" name="图片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3A9" w:rsidRPr="00A5463D" w:rsidRDefault="00F553A9" w:rsidP="00F553A9">
      <w:pPr>
        <w:tabs>
          <w:tab w:val="center" w:pos="4153"/>
          <w:tab w:val="right" w:pos="8306"/>
        </w:tabs>
        <w:snapToGrid w:val="0"/>
        <w:ind w:firstLineChars="200" w:firstLine="640"/>
        <w:rPr>
          <w:rFonts w:eastAsia="方正黑体简体" w:hint="eastAsia"/>
          <w:bCs/>
          <w:sz w:val="32"/>
          <w:szCs w:val="32"/>
        </w:rPr>
      </w:pPr>
      <w:r w:rsidRPr="00A5463D">
        <w:rPr>
          <w:rFonts w:eastAsia="方正黑体简体" w:hint="eastAsia"/>
          <w:bCs/>
          <w:sz w:val="32"/>
          <w:szCs w:val="32"/>
        </w:rPr>
        <w:lastRenderedPageBreak/>
        <w:t>三、调整前后指标表</w:t>
      </w:r>
    </w:p>
    <w:tbl>
      <w:tblPr>
        <w:tblpPr w:leftFromText="180" w:rightFromText="180" w:vertAnchor="text" w:horzAnchor="page" w:tblpX="1352" w:tblpY="548"/>
        <w:tblOverlap w:val="never"/>
        <w:tblW w:w="5086" w:type="pct"/>
        <w:tblLayout w:type="fixed"/>
        <w:tblLook w:val="000F" w:firstRow="0" w:lastRow="0" w:firstColumn="0" w:lastColumn="0" w:noHBand="0" w:noVBand="0"/>
      </w:tblPr>
      <w:tblGrid>
        <w:gridCol w:w="1433"/>
        <w:gridCol w:w="2509"/>
        <w:gridCol w:w="1416"/>
        <w:gridCol w:w="3311"/>
      </w:tblGrid>
      <w:tr w:rsidR="00F553A9" w:rsidRPr="00A5463D" w:rsidTr="005D5A54">
        <w:trPr>
          <w:trHeight w:val="360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 w:rsidRPr="00A5463D">
              <w:rPr>
                <w:rFonts w:eastAsia="黑体"/>
                <w:color w:val="000000"/>
                <w:kern w:val="0"/>
                <w:sz w:val="28"/>
                <w:szCs w:val="28"/>
              </w:rPr>
              <w:t>调整前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 w:rsidRPr="00A5463D">
              <w:rPr>
                <w:rFonts w:eastAsia="黑体"/>
                <w:color w:val="000000"/>
                <w:kern w:val="0"/>
                <w:sz w:val="28"/>
                <w:szCs w:val="28"/>
              </w:rPr>
              <w:t>调整后</w:t>
            </w:r>
          </w:p>
        </w:tc>
      </w:tr>
      <w:tr w:rsidR="00F553A9" w:rsidRPr="00A5463D" w:rsidTr="005D5A54">
        <w:trPr>
          <w:trHeight w:val="3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rFonts w:eastAsia="方正楷体_GB2312"/>
                <w:color w:val="000000"/>
                <w:sz w:val="28"/>
                <w:szCs w:val="28"/>
              </w:rPr>
            </w:pPr>
            <w:r w:rsidRPr="00A5463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地块编号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rFonts w:eastAsia="方正楷体_GB2312"/>
                <w:color w:val="000000"/>
                <w:sz w:val="28"/>
                <w:szCs w:val="28"/>
              </w:rPr>
            </w:pPr>
            <w:r w:rsidRPr="00A5463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相关指标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rFonts w:eastAsia="方正楷体_GB2312"/>
                <w:color w:val="000000"/>
                <w:sz w:val="28"/>
                <w:szCs w:val="28"/>
              </w:rPr>
            </w:pPr>
            <w:r w:rsidRPr="00A5463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地块编号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rFonts w:eastAsia="方正楷体_GB2312"/>
                <w:color w:val="000000"/>
                <w:sz w:val="28"/>
                <w:szCs w:val="28"/>
              </w:rPr>
            </w:pPr>
            <w:r w:rsidRPr="00A5463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相关指标</w:t>
            </w:r>
          </w:p>
        </w:tc>
      </w:tr>
      <w:tr w:rsidR="00F553A9" w:rsidRPr="00A5463D" w:rsidTr="005D5A54">
        <w:trPr>
          <w:trHeight w:val="121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5463D">
              <w:rPr>
                <w:color w:val="000000"/>
                <w:kern w:val="0"/>
                <w:sz w:val="24"/>
                <w:szCs w:val="24"/>
              </w:rPr>
              <w:t>G7-01-02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面积：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18184.64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㎡；用地性质：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B1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；建筑密度：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45%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；容积率：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3.5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；绿地率：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25%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；建筑限高：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120M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5463D">
              <w:rPr>
                <w:b/>
                <w:bCs/>
                <w:color w:val="000000"/>
                <w:kern w:val="0"/>
                <w:sz w:val="24"/>
                <w:szCs w:val="24"/>
              </w:rPr>
              <w:t>G7-03: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面积：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38660.92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㎡；用地性质：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RB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；商住混合比例：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38%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；容积率：</w:t>
            </w:r>
            <w:r w:rsidRPr="00A5463D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3.0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；建筑密度：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35%(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其中居住部分</w:t>
            </w:r>
            <w:r w:rsidRPr="00A546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≯</w:t>
            </w:r>
            <w:r w:rsidRPr="00A5463D">
              <w:rPr>
                <w:color w:val="000000"/>
                <w:kern w:val="0"/>
                <w:sz w:val="24"/>
                <w:szCs w:val="24"/>
              </w:rPr>
              <w:t>22%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，商业部分</w:t>
            </w:r>
            <w:r w:rsidRPr="00A546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≯</w:t>
            </w:r>
            <w:r w:rsidRPr="00A5463D">
              <w:rPr>
                <w:color w:val="000000"/>
                <w:kern w:val="0"/>
                <w:sz w:val="24"/>
                <w:szCs w:val="24"/>
              </w:rPr>
              <w:t>50%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；绿地率：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30%(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其中居住部分</w:t>
            </w:r>
            <w:r w:rsidRPr="00A546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≮</w:t>
            </w:r>
            <w:r w:rsidRPr="00A5463D">
              <w:rPr>
                <w:color w:val="000000"/>
                <w:kern w:val="0"/>
                <w:sz w:val="24"/>
                <w:szCs w:val="24"/>
              </w:rPr>
              <w:t>35%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，商业部分</w:t>
            </w:r>
            <w:r w:rsidRPr="00A546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≮</w:t>
            </w:r>
            <w:r w:rsidRPr="00A5463D">
              <w:rPr>
                <w:color w:val="000000"/>
                <w:kern w:val="0"/>
                <w:sz w:val="24"/>
                <w:szCs w:val="24"/>
              </w:rPr>
              <w:t>20%)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；建筑限高：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80M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53A9" w:rsidRPr="00A5463D" w:rsidTr="005D5A54">
        <w:trPr>
          <w:trHeight w:val="157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5463D">
              <w:rPr>
                <w:color w:val="000000"/>
                <w:kern w:val="0"/>
                <w:sz w:val="24"/>
                <w:szCs w:val="24"/>
              </w:rPr>
              <w:t>G7-03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面积：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13930.46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㎡；用地性质：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B1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；建筑密度：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45%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；容积率：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3.5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；绿地率：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25%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；建筑限高：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100M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rPr>
                <w:rFonts w:ascii="Calibri" w:hAnsi="Calibri" w:cs="Arial"/>
                <w:szCs w:val="24"/>
              </w:rPr>
            </w:pPr>
          </w:p>
        </w:tc>
      </w:tr>
      <w:tr w:rsidR="00F553A9" w:rsidRPr="00A5463D" w:rsidTr="005D5A54">
        <w:trPr>
          <w:trHeight w:val="157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5463D">
              <w:rPr>
                <w:color w:val="000000"/>
                <w:kern w:val="0"/>
                <w:sz w:val="24"/>
                <w:szCs w:val="24"/>
              </w:rPr>
              <w:t>G7-04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面积：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6541.05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㎡；用地性质：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B1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；建筑密度：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45%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；容积率：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；绿地率：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25%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；建筑限高：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100M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rPr>
                <w:rFonts w:ascii="Calibri" w:hAnsi="Calibri" w:cs="Arial"/>
                <w:szCs w:val="24"/>
              </w:rPr>
            </w:pPr>
          </w:p>
        </w:tc>
      </w:tr>
      <w:tr w:rsidR="00F553A9" w:rsidRPr="00A5463D" w:rsidTr="005D5A54">
        <w:trPr>
          <w:trHeight w:val="285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A5463D">
              <w:rPr>
                <w:color w:val="000000"/>
                <w:kern w:val="0"/>
                <w:sz w:val="22"/>
                <w:szCs w:val="22"/>
              </w:rPr>
              <w:t>G7-05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面积：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18657.04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㎡；用地性质：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B1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；建筑密度：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45%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；容积率：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；绿地率：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25%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；建筑限高：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40M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5463D">
              <w:rPr>
                <w:color w:val="000000"/>
                <w:kern w:val="0"/>
                <w:sz w:val="24"/>
                <w:szCs w:val="24"/>
              </w:rPr>
              <w:t>G7-05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面积：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18652.27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㎡；用地性质：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RB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；商住混合比例：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38%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；容积率：</w:t>
            </w:r>
            <w:r w:rsidRPr="00A5463D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3.0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；建筑密度：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35%(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居住部分</w:t>
            </w:r>
            <w:r w:rsidRPr="00A546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≯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22%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，商业部分</w:t>
            </w:r>
            <w:r w:rsidRPr="00A546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≯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50%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；绿地率：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30%(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居住部分</w:t>
            </w:r>
            <w:r w:rsidRPr="00A546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≮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35%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，商业部分</w:t>
            </w:r>
            <w:r w:rsidRPr="00A546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≮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20%)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；建筑限高：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80M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。配套设施：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班幼儿园。</w:t>
            </w:r>
          </w:p>
        </w:tc>
      </w:tr>
      <w:tr w:rsidR="00F553A9" w:rsidRPr="00A5463D" w:rsidTr="005D5A54">
        <w:trPr>
          <w:trHeight w:val="12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5463D">
              <w:rPr>
                <w:color w:val="000000"/>
                <w:kern w:val="0"/>
                <w:sz w:val="24"/>
                <w:szCs w:val="24"/>
              </w:rPr>
              <w:t>G7-02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面积：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33823.82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㎡；用地性质：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G1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；绿地率：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60%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5463D">
              <w:rPr>
                <w:color w:val="000000"/>
                <w:kern w:val="0"/>
                <w:sz w:val="24"/>
                <w:szCs w:val="24"/>
              </w:rPr>
              <w:t>G7-02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面积：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33823.82</w:t>
            </w:r>
            <w:r w:rsidRPr="00A5463D">
              <w:rPr>
                <w:color w:val="000000"/>
                <w:kern w:val="0"/>
                <w:sz w:val="24"/>
                <w:szCs w:val="24"/>
              </w:rPr>
              <w:t>㎡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；用地性质：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G1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；绿地率：</w:t>
            </w:r>
            <w:r w:rsidRPr="00A5463D">
              <w:rPr>
                <w:color w:val="000000"/>
                <w:kern w:val="0"/>
                <w:sz w:val="24"/>
                <w:szCs w:val="24"/>
              </w:rPr>
              <w:t>60%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53A9" w:rsidRPr="00A5463D" w:rsidTr="005D5A54">
        <w:trPr>
          <w:trHeight w:val="92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3A9" w:rsidRPr="00A5463D" w:rsidRDefault="00F553A9" w:rsidP="005D5A5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调整后开发强度下降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10482.61</w:t>
            </w:r>
            <w:r w:rsidRPr="00A5463D">
              <w:rPr>
                <w:color w:val="000000"/>
                <w:sz w:val="24"/>
                <w:szCs w:val="24"/>
              </w:rPr>
              <w:t>㎡</w:t>
            </w:r>
            <w:r w:rsidRPr="00A5463D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FF4E4E" w:rsidRPr="00F553A9" w:rsidRDefault="00FF4E4E"/>
    <w:sectPr w:rsidR="00FF4E4E" w:rsidRPr="00F5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41" w:rsidRDefault="00CC7041" w:rsidP="00F553A9">
      <w:r>
        <w:separator/>
      </w:r>
    </w:p>
  </w:endnote>
  <w:endnote w:type="continuationSeparator" w:id="0">
    <w:p w:rsidR="00CC7041" w:rsidRDefault="00CC7041" w:rsidP="00F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variable"/>
  </w:font>
  <w:font w:name="文泉驿微米黑">
    <w:altName w:val="Arial Unicode MS"/>
    <w:charset w:val="86"/>
    <w:family w:val="auto"/>
    <w:pitch w:val="variable"/>
    <w:sig w:usb0="00000000" w:usb1="6BDFFCFB" w:usb2="00800036" w:usb3="00000000" w:csb0="603E019F" w:csb1="DFD70000"/>
  </w:font>
  <w:font w:name="方正黑体简体">
    <w:altName w:val="Times New Roman"/>
    <w:charset w:val="00"/>
    <w:family w:val="auto"/>
    <w:pitch w:val="variable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231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41" w:rsidRDefault="00CC7041" w:rsidP="00F553A9">
      <w:r>
        <w:separator/>
      </w:r>
    </w:p>
  </w:footnote>
  <w:footnote w:type="continuationSeparator" w:id="0">
    <w:p w:rsidR="00CC7041" w:rsidRDefault="00CC7041" w:rsidP="00F5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4E"/>
    <w:rsid w:val="000150AD"/>
    <w:rsid w:val="00036B87"/>
    <w:rsid w:val="00044BE2"/>
    <w:rsid w:val="00056D6A"/>
    <w:rsid w:val="00062D69"/>
    <w:rsid w:val="000D4967"/>
    <w:rsid w:val="000E056B"/>
    <w:rsid w:val="001057F9"/>
    <w:rsid w:val="0011624E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C704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53A9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2024-04-22T08:41:00Z</dcterms:created>
  <dcterms:modified xsi:type="dcterms:W3CDTF">2024-04-22T08:42:00Z</dcterms:modified>
</cp:coreProperties>
</file>