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55" w:rsidRDefault="009E7F55" w:rsidP="009E7F55">
      <w:pPr>
        <w:spacing w:line="540" w:lineRule="exact"/>
        <w:jc w:val="center"/>
        <w:rPr>
          <w:rFonts w:ascii="方正楷体简体" w:eastAsia="方正楷体简体"/>
          <w:b/>
          <w:sz w:val="32"/>
          <w:szCs w:val="32"/>
        </w:rPr>
      </w:pPr>
      <w:r>
        <w:rPr>
          <w:rFonts w:ascii="方正小标宋_GBK" w:eastAsia="方正小标宋_GBK" w:hint="eastAsia"/>
          <w:sz w:val="44"/>
          <w:szCs w:val="44"/>
        </w:rPr>
        <w:t>关于《巴中市城市规划管理技术规定（2020版）》局部修改的通知</w:t>
      </w:r>
      <w:r>
        <w:rPr>
          <w:rFonts w:ascii="宋体" w:hAnsi="宋体" w:cs="宋体" w:hint="eastAsia"/>
          <w:b/>
          <w:sz w:val="32"/>
          <w:szCs w:val="32"/>
        </w:rPr>
        <w:t>（征求意见稿）</w:t>
      </w:r>
    </w:p>
    <w:p w:rsidR="009E7F55" w:rsidRDefault="009E7F55" w:rsidP="009E7F55">
      <w:pPr>
        <w:rPr>
          <w:rFonts w:ascii="方正仿宋_GBK" w:eastAsia="方正仿宋_GBK"/>
          <w:sz w:val="33"/>
          <w:szCs w:val="33"/>
        </w:rPr>
      </w:pPr>
    </w:p>
    <w:p w:rsidR="009E7F55" w:rsidRDefault="009E7F55" w:rsidP="009E7F55">
      <w:pPr>
        <w:rPr>
          <w:rFonts w:ascii="方正仿宋_GBK" w:eastAsia="方正仿宋_GBK" w:hint="eastAsia"/>
          <w:sz w:val="33"/>
          <w:szCs w:val="33"/>
        </w:rPr>
      </w:pPr>
      <w:r>
        <w:rPr>
          <w:rFonts w:ascii="方正仿宋_GBK" w:eastAsia="方正仿宋_GBK" w:hint="eastAsia"/>
          <w:sz w:val="33"/>
          <w:szCs w:val="33"/>
        </w:rPr>
        <w:t>各县区人民政府，巴中经开区、</w:t>
      </w:r>
      <w:proofErr w:type="gramStart"/>
      <w:r>
        <w:rPr>
          <w:rFonts w:ascii="方正仿宋_GBK" w:eastAsia="方正仿宋_GBK" w:hint="eastAsia"/>
          <w:sz w:val="33"/>
          <w:szCs w:val="33"/>
        </w:rPr>
        <w:t>文旅新区</w:t>
      </w:r>
      <w:proofErr w:type="gramEnd"/>
      <w:r>
        <w:rPr>
          <w:rFonts w:ascii="方正仿宋_GBK" w:eastAsia="方正仿宋_GBK" w:hint="eastAsia"/>
          <w:sz w:val="33"/>
          <w:szCs w:val="33"/>
        </w:rPr>
        <w:t>管委会，市级部门：</w:t>
      </w:r>
    </w:p>
    <w:p w:rsidR="009E7F55" w:rsidRDefault="009E7F55" w:rsidP="009E7F55">
      <w:pPr>
        <w:ind w:firstLine="660"/>
        <w:rPr>
          <w:rFonts w:ascii="方正仿宋_GBK" w:eastAsia="方正仿宋_GBK" w:hint="eastAsia"/>
          <w:sz w:val="33"/>
          <w:szCs w:val="33"/>
        </w:rPr>
      </w:pPr>
      <w:r>
        <w:rPr>
          <w:rFonts w:ascii="方正仿宋_GBK" w:eastAsia="方正仿宋_GBK" w:hint="eastAsia"/>
          <w:sz w:val="33"/>
          <w:szCs w:val="33"/>
        </w:rPr>
        <w:t>为进一步强化规划引领，促进房地产市场平稳健康发展，加快建设秀美巴城，现对《巴中市城市规划管理技术规定（2020版）》（以下简称“技术规定”）作局部修改。</w:t>
      </w:r>
    </w:p>
    <w:p w:rsidR="009E7F55" w:rsidRDefault="009E7F55" w:rsidP="009E7F55">
      <w:pPr>
        <w:ind w:firstLineChars="200" w:firstLine="660"/>
        <w:rPr>
          <w:rFonts w:ascii="方正楷体简体" w:eastAsia="方正楷体简体" w:hint="eastAsia"/>
          <w:b/>
          <w:bCs/>
          <w:sz w:val="33"/>
          <w:szCs w:val="33"/>
        </w:rPr>
      </w:pPr>
      <w:r>
        <w:rPr>
          <w:rFonts w:ascii="方正仿宋_GBK" w:eastAsia="方正仿宋_GBK" w:hint="eastAsia"/>
          <w:sz w:val="33"/>
          <w:szCs w:val="33"/>
        </w:rPr>
        <w:t>一、</w:t>
      </w:r>
      <w:r>
        <w:rPr>
          <w:rFonts w:ascii="宋体" w:hAnsi="宋体" w:cs="宋体" w:hint="eastAsia"/>
          <w:b/>
          <w:bCs/>
          <w:sz w:val="33"/>
          <w:szCs w:val="33"/>
        </w:rPr>
        <w:t>（</w:t>
      </w:r>
      <w:r>
        <w:rPr>
          <w:rFonts w:ascii="宋体" w:hAnsi="宋体" w:cs="宋体" w:hint="eastAsia"/>
          <w:b/>
          <w:sz w:val="33"/>
          <w:szCs w:val="33"/>
        </w:rPr>
        <w:t>修订</w:t>
      </w:r>
      <w:r>
        <w:rPr>
          <w:rFonts w:ascii="方正楷体简体" w:eastAsia="方正楷体简体"/>
          <w:b/>
          <w:sz w:val="33"/>
          <w:szCs w:val="33"/>
        </w:rPr>
        <w:t>“</w:t>
      </w:r>
      <w:r>
        <w:rPr>
          <w:rFonts w:ascii="宋体" w:hAnsi="宋体" w:cs="宋体" w:hint="eastAsia"/>
          <w:b/>
          <w:sz w:val="33"/>
          <w:szCs w:val="33"/>
        </w:rPr>
        <w:t>技术规定</w:t>
      </w:r>
      <w:r>
        <w:rPr>
          <w:rFonts w:ascii="方正楷体简体" w:eastAsia="方正楷体简体"/>
          <w:b/>
          <w:sz w:val="33"/>
          <w:szCs w:val="33"/>
        </w:rPr>
        <w:t>”</w:t>
      </w:r>
      <w:r>
        <w:rPr>
          <w:rFonts w:ascii="宋体" w:hAnsi="宋体" w:cs="宋体" w:hint="eastAsia"/>
          <w:b/>
          <w:bCs/>
          <w:sz w:val="33"/>
          <w:szCs w:val="33"/>
        </w:rPr>
        <w:t>第七条第五款</w:t>
      </w:r>
      <w:bookmarkStart w:id="0" w:name="_GoBack"/>
      <w:bookmarkEnd w:id="0"/>
      <w:r>
        <w:rPr>
          <w:rFonts w:ascii="宋体" w:hAnsi="宋体" w:cs="宋体" w:hint="eastAsia"/>
          <w:b/>
          <w:bCs/>
          <w:sz w:val="33"/>
          <w:szCs w:val="33"/>
        </w:rPr>
        <w:t>）</w:t>
      </w:r>
      <w:r>
        <w:rPr>
          <w:rFonts w:ascii="方正仿宋_GBK" w:eastAsia="方正仿宋_GBK" w:hint="eastAsia"/>
          <w:bCs/>
          <w:sz w:val="33"/>
          <w:szCs w:val="33"/>
        </w:rPr>
        <w:t>居住用地（R）和商业服务业设施用地（B）混合性兼容，以居住为主要用地性质的，</w:t>
      </w:r>
      <w:proofErr w:type="gramStart"/>
      <w:r>
        <w:rPr>
          <w:rFonts w:ascii="方正仿宋_GBK" w:eastAsia="方正仿宋_GBK" w:hint="eastAsia"/>
          <w:bCs/>
          <w:sz w:val="33"/>
          <w:szCs w:val="33"/>
        </w:rPr>
        <w:t>住宅计容建筑面积</w:t>
      </w:r>
      <w:proofErr w:type="gramEnd"/>
      <w:r>
        <w:rPr>
          <w:rFonts w:ascii="方正仿宋_GBK" w:eastAsia="方正仿宋_GBK" w:hint="eastAsia"/>
          <w:bCs/>
          <w:sz w:val="33"/>
          <w:szCs w:val="33"/>
        </w:rPr>
        <w:t>应大于规划用地总计容建筑面积的50%，小于或者等于规划用地总计容建筑面积的</w:t>
      </w:r>
      <w:r>
        <w:rPr>
          <w:rFonts w:ascii="方正仿宋_GBK" w:eastAsia="方正仿宋_GBK" w:hint="eastAsia"/>
          <w:bCs/>
          <w:strike/>
          <w:sz w:val="33"/>
          <w:szCs w:val="33"/>
        </w:rPr>
        <w:t>（80%）</w:t>
      </w:r>
      <w:r>
        <w:rPr>
          <w:rFonts w:ascii="方正黑体_GBK" w:eastAsia="方正黑体_GBK" w:hint="eastAsia"/>
          <w:b/>
          <w:bCs/>
          <w:color w:val="FF0000"/>
          <w:sz w:val="33"/>
          <w:szCs w:val="33"/>
        </w:rPr>
        <w:t>90%</w:t>
      </w:r>
      <w:r>
        <w:rPr>
          <w:rFonts w:ascii="方正黑体_GBK" w:eastAsia="方正黑体_GBK" w:hint="eastAsia"/>
          <w:b/>
          <w:bCs/>
          <w:sz w:val="33"/>
          <w:szCs w:val="33"/>
        </w:rPr>
        <w:t>。</w:t>
      </w:r>
    </w:p>
    <w:p w:rsidR="009E7F55" w:rsidRDefault="009E7F55" w:rsidP="009E7F55">
      <w:pPr>
        <w:ind w:firstLine="660"/>
        <w:rPr>
          <w:rFonts w:ascii="方正仿宋_GBK" w:eastAsia="方正仿宋_GBK"/>
          <w:bCs/>
          <w:sz w:val="33"/>
          <w:szCs w:val="33"/>
        </w:rPr>
      </w:pPr>
      <w:r>
        <w:rPr>
          <w:rFonts w:ascii="方正仿宋_GBK" w:eastAsia="方正仿宋_GBK" w:hint="eastAsia"/>
          <w:sz w:val="33"/>
          <w:szCs w:val="33"/>
        </w:rPr>
        <w:t>二、</w:t>
      </w:r>
      <w:r>
        <w:rPr>
          <w:rFonts w:ascii="宋体" w:hAnsi="宋体" w:cs="宋体" w:hint="eastAsia"/>
          <w:b/>
          <w:sz w:val="33"/>
          <w:szCs w:val="33"/>
        </w:rPr>
        <w:t>（新增）</w:t>
      </w:r>
      <w:r>
        <w:rPr>
          <w:rFonts w:ascii="方正仿宋_GBK" w:eastAsia="方正仿宋_GBK" w:hint="eastAsia"/>
          <w:bCs/>
          <w:sz w:val="33"/>
          <w:szCs w:val="33"/>
        </w:rPr>
        <w:t>控制性详细规划明确住宅用地中须独立配建农贸市场或其它建筑面积大于2000㎡公共服务配套设施的，该规划地块的建筑密度可适当提高，提高比例不超过5%。</w:t>
      </w:r>
    </w:p>
    <w:p w:rsidR="009E7F55" w:rsidRDefault="009E7F55" w:rsidP="009E7F55">
      <w:pPr>
        <w:ind w:firstLineChars="200" w:firstLine="660"/>
        <w:rPr>
          <w:rFonts w:ascii="方正仿宋_GBK" w:eastAsia="方正仿宋_GBK" w:hint="eastAsia"/>
          <w:bCs/>
          <w:sz w:val="33"/>
          <w:szCs w:val="33"/>
        </w:rPr>
      </w:pPr>
      <w:r>
        <w:rPr>
          <w:rFonts w:ascii="方正仿宋_GBK" w:eastAsia="方正仿宋_GBK" w:hint="eastAsia"/>
          <w:sz w:val="33"/>
          <w:szCs w:val="33"/>
        </w:rPr>
        <w:t>三、</w:t>
      </w:r>
      <w:r>
        <w:rPr>
          <w:rFonts w:ascii="宋体" w:hAnsi="宋体" w:cs="宋体" w:hint="eastAsia"/>
          <w:b/>
          <w:sz w:val="33"/>
          <w:szCs w:val="33"/>
        </w:rPr>
        <w:t>（新增）</w:t>
      </w:r>
      <w:r>
        <w:rPr>
          <w:rFonts w:ascii="方正仿宋_GBK" w:eastAsia="方正仿宋_GBK" w:hint="eastAsia"/>
          <w:bCs/>
          <w:sz w:val="33"/>
          <w:szCs w:val="33"/>
        </w:rPr>
        <w:t>国有建设用地出让或划拨前，在有利于城市空间形态、优化城市功能布局的前提下，符合以下原则的，相邻多个地块的容积率、绿地率等规划指标可以进行总体平衡，按照控制性详细规划局部调整程序进行修改：</w:t>
      </w:r>
    </w:p>
    <w:p w:rsidR="009E7F55" w:rsidRDefault="009E7F55" w:rsidP="009E7F55">
      <w:pPr>
        <w:ind w:firstLineChars="200" w:firstLine="660"/>
        <w:rPr>
          <w:rFonts w:ascii="方正仿宋_GBK" w:eastAsia="方正仿宋_GBK" w:hint="eastAsia"/>
          <w:bCs/>
          <w:sz w:val="33"/>
          <w:szCs w:val="33"/>
        </w:rPr>
      </w:pPr>
      <w:r>
        <w:rPr>
          <w:rFonts w:ascii="方正仿宋_GBK" w:eastAsia="方正仿宋_GBK" w:hint="eastAsia"/>
          <w:bCs/>
          <w:sz w:val="33"/>
          <w:szCs w:val="33"/>
        </w:rPr>
        <w:t>1.总计容建筑面积不增加，各</w:t>
      </w:r>
      <w:proofErr w:type="gramStart"/>
      <w:r>
        <w:rPr>
          <w:rFonts w:ascii="方正仿宋_GBK" w:eastAsia="方正仿宋_GBK" w:hint="eastAsia"/>
          <w:bCs/>
          <w:sz w:val="33"/>
          <w:szCs w:val="33"/>
        </w:rPr>
        <w:t>类计容</w:t>
      </w:r>
      <w:proofErr w:type="gramEnd"/>
      <w:r>
        <w:rPr>
          <w:rFonts w:ascii="方正仿宋_GBK" w:eastAsia="方正仿宋_GBK" w:hint="eastAsia"/>
          <w:bCs/>
          <w:sz w:val="33"/>
          <w:szCs w:val="33"/>
        </w:rPr>
        <w:t>建筑面积不突破；</w:t>
      </w:r>
    </w:p>
    <w:p w:rsidR="009E7F55" w:rsidRDefault="009E7F55" w:rsidP="009E7F55">
      <w:pPr>
        <w:ind w:firstLineChars="200" w:firstLine="660"/>
        <w:rPr>
          <w:rFonts w:ascii="方正仿宋_GBK" w:eastAsia="方正仿宋_GBK" w:hint="eastAsia"/>
          <w:bCs/>
          <w:sz w:val="33"/>
          <w:szCs w:val="33"/>
        </w:rPr>
      </w:pPr>
      <w:r>
        <w:rPr>
          <w:rFonts w:ascii="方正仿宋_GBK" w:eastAsia="方正仿宋_GBK" w:hint="eastAsia"/>
          <w:bCs/>
          <w:sz w:val="33"/>
          <w:szCs w:val="33"/>
        </w:rPr>
        <w:lastRenderedPageBreak/>
        <w:t>2.交通设施、公共服务设施、公用设施、公园绿地等用地面积不减少；</w:t>
      </w:r>
    </w:p>
    <w:p w:rsidR="009E7F55" w:rsidRDefault="009E7F55" w:rsidP="009E7F55">
      <w:pPr>
        <w:ind w:firstLineChars="200" w:firstLine="660"/>
        <w:rPr>
          <w:rFonts w:ascii="方正仿宋_GBK" w:eastAsia="方正仿宋_GBK" w:hint="eastAsia"/>
          <w:bCs/>
          <w:sz w:val="33"/>
          <w:szCs w:val="33"/>
        </w:rPr>
      </w:pPr>
      <w:r>
        <w:rPr>
          <w:rFonts w:ascii="方正仿宋_GBK" w:eastAsia="方正仿宋_GBK" w:hint="eastAsia"/>
          <w:bCs/>
          <w:sz w:val="33"/>
          <w:szCs w:val="33"/>
        </w:rPr>
        <w:t>3.不突破《城市居住区规划设计标准GB50180—2018》的相关要求。</w:t>
      </w:r>
    </w:p>
    <w:p w:rsidR="009E7F55" w:rsidRDefault="009E7F55" w:rsidP="009E7F55">
      <w:pPr>
        <w:ind w:firstLine="660"/>
        <w:rPr>
          <w:rFonts w:ascii="方正仿宋_GBK" w:eastAsia="方正仿宋_GBK" w:hint="eastAsia"/>
          <w:sz w:val="33"/>
          <w:szCs w:val="33"/>
        </w:rPr>
      </w:pPr>
      <w:r>
        <w:rPr>
          <w:rFonts w:ascii="方正仿宋_GBK" w:eastAsia="方正仿宋_GBK" w:hint="eastAsia"/>
          <w:sz w:val="33"/>
          <w:szCs w:val="33"/>
        </w:rPr>
        <w:t>四、</w:t>
      </w:r>
      <w:r>
        <w:rPr>
          <w:rFonts w:ascii="宋体" w:hAnsi="宋体" w:cs="宋体" w:hint="eastAsia"/>
          <w:b/>
          <w:sz w:val="33"/>
          <w:szCs w:val="33"/>
        </w:rPr>
        <w:t>（新增）</w:t>
      </w:r>
      <w:r>
        <w:rPr>
          <w:rFonts w:ascii="方正仿宋_GBK" w:eastAsia="方正仿宋_GBK" w:hint="eastAsia"/>
          <w:sz w:val="33"/>
          <w:szCs w:val="33"/>
        </w:rPr>
        <w:t>符合以下情形的，实行容积率奖励：</w:t>
      </w:r>
    </w:p>
    <w:p w:rsidR="009E7F55" w:rsidRDefault="009E7F55" w:rsidP="009E7F55">
      <w:pPr>
        <w:ind w:firstLine="660"/>
        <w:rPr>
          <w:rFonts w:ascii="方正仿宋_GBK" w:eastAsia="方正仿宋_GBK" w:hint="eastAsia"/>
          <w:sz w:val="33"/>
          <w:szCs w:val="33"/>
        </w:rPr>
      </w:pPr>
      <w:r>
        <w:rPr>
          <w:rFonts w:ascii="方正仿宋_GBK" w:eastAsia="方正仿宋_GBK" w:hint="eastAsia"/>
          <w:sz w:val="33"/>
          <w:szCs w:val="33"/>
        </w:rPr>
        <w:t>1.鼓励建筑空间的公共性和开放性，建筑首层架空部分作为绿化、停车、通道等公共活动使用的建筑面积不计入容积率。</w:t>
      </w:r>
    </w:p>
    <w:p w:rsidR="009E7F55" w:rsidRDefault="009E7F55" w:rsidP="009E7F55">
      <w:pPr>
        <w:ind w:firstLine="660"/>
        <w:rPr>
          <w:rFonts w:ascii="方正仿宋_GBK" w:eastAsia="方正仿宋_GBK" w:hint="eastAsia"/>
          <w:sz w:val="33"/>
          <w:szCs w:val="33"/>
        </w:rPr>
      </w:pPr>
      <w:r>
        <w:rPr>
          <w:rFonts w:ascii="方正仿宋_GBK" w:eastAsia="方正仿宋_GBK" w:hint="eastAsia"/>
          <w:sz w:val="33"/>
          <w:szCs w:val="33"/>
        </w:rPr>
        <w:t>2.促进地下空间开发利用，地下室、地下车库入出口、地下车库附建的排风口以及半地下室中除住宅、商业服务设施外的其它各类建筑面积不计入容积率。</w:t>
      </w:r>
    </w:p>
    <w:p w:rsidR="009E7F55" w:rsidRDefault="009E7F55" w:rsidP="009E7F55">
      <w:pPr>
        <w:ind w:firstLine="660"/>
        <w:rPr>
          <w:rFonts w:ascii="方正仿宋_GBK" w:eastAsia="方正仿宋_GBK" w:hint="eastAsia"/>
          <w:sz w:val="33"/>
          <w:szCs w:val="33"/>
        </w:rPr>
      </w:pPr>
      <w:r>
        <w:rPr>
          <w:rFonts w:ascii="方正仿宋_GBK" w:eastAsia="方正仿宋_GBK" w:hint="eastAsia"/>
          <w:sz w:val="33"/>
          <w:szCs w:val="33"/>
        </w:rPr>
        <w:t>五、</w:t>
      </w:r>
      <w:r>
        <w:rPr>
          <w:rFonts w:ascii="宋体" w:hAnsi="宋体" w:cs="宋体" w:hint="eastAsia"/>
          <w:b/>
          <w:sz w:val="33"/>
          <w:szCs w:val="33"/>
        </w:rPr>
        <w:t>（修订</w:t>
      </w:r>
      <w:r>
        <w:rPr>
          <w:rFonts w:ascii="方正楷体简体" w:eastAsia="方正楷体简体"/>
          <w:b/>
          <w:sz w:val="33"/>
          <w:szCs w:val="33"/>
        </w:rPr>
        <w:t>“</w:t>
      </w:r>
      <w:r>
        <w:rPr>
          <w:rFonts w:ascii="宋体" w:hAnsi="宋体" w:cs="宋体" w:hint="eastAsia"/>
          <w:b/>
          <w:sz w:val="33"/>
          <w:szCs w:val="33"/>
        </w:rPr>
        <w:t>技术规定</w:t>
      </w:r>
      <w:r>
        <w:rPr>
          <w:rFonts w:ascii="方正楷体简体" w:eastAsia="方正楷体简体"/>
          <w:b/>
          <w:sz w:val="33"/>
          <w:szCs w:val="33"/>
        </w:rPr>
        <w:t>”</w:t>
      </w:r>
      <w:r>
        <w:rPr>
          <w:rFonts w:ascii="宋体" w:hAnsi="宋体" w:cs="宋体" w:hint="eastAsia"/>
          <w:b/>
          <w:sz w:val="33"/>
          <w:szCs w:val="33"/>
        </w:rPr>
        <w:t>第二十六条）</w:t>
      </w:r>
      <w:r>
        <w:rPr>
          <w:rFonts w:ascii="方正仿宋_GBK" w:eastAsia="方正仿宋_GBK" w:hint="eastAsia"/>
          <w:sz w:val="33"/>
          <w:szCs w:val="33"/>
        </w:rPr>
        <w:t>建筑高度大于80m的非居住建筑，其间距按80m计算，但应满足消防间距和日照间距。</w:t>
      </w:r>
    </w:p>
    <w:p w:rsidR="009E7F55" w:rsidRDefault="009E7F55" w:rsidP="009E7F55">
      <w:pPr>
        <w:ind w:firstLine="660"/>
        <w:rPr>
          <w:rFonts w:ascii="方正仿宋_GBK" w:eastAsia="方正仿宋_GBK" w:hint="eastAsia"/>
          <w:sz w:val="33"/>
          <w:szCs w:val="33"/>
        </w:rPr>
      </w:pPr>
      <w:r>
        <w:rPr>
          <w:rFonts w:ascii="方正仿宋_GBK" w:eastAsia="方正仿宋_GBK" w:hint="eastAsia"/>
          <w:sz w:val="33"/>
          <w:szCs w:val="33"/>
        </w:rPr>
        <w:t>六、</w:t>
      </w:r>
      <w:r>
        <w:rPr>
          <w:rFonts w:ascii="宋体" w:hAnsi="宋体" w:cs="宋体" w:hint="eastAsia"/>
          <w:b/>
          <w:sz w:val="33"/>
          <w:szCs w:val="33"/>
        </w:rPr>
        <w:t>（修订</w:t>
      </w:r>
      <w:r>
        <w:rPr>
          <w:rFonts w:ascii="方正楷体简体" w:eastAsia="方正楷体简体"/>
          <w:b/>
          <w:sz w:val="33"/>
          <w:szCs w:val="33"/>
        </w:rPr>
        <w:t>“</w:t>
      </w:r>
      <w:r>
        <w:rPr>
          <w:rFonts w:ascii="宋体" w:hAnsi="宋体" w:cs="宋体" w:hint="eastAsia"/>
          <w:b/>
          <w:sz w:val="33"/>
          <w:szCs w:val="33"/>
        </w:rPr>
        <w:t>技术规定</w:t>
      </w:r>
      <w:r>
        <w:rPr>
          <w:rFonts w:ascii="方正楷体简体" w:eastAsia="方正楷体简体"/>
          <w:b/>
          <w:sz w:val="33"/>
          <w:szCs w:val="33"/>
        </w:rPr>
        <w:t>”</w:t>
      </w:r>
      <w:r>
        <w:rPr>
          <w:rFonts w:ascii="宋体" w:hAnsi="宋体" w:cs="宋体" w:hint="eastAsia"/>
          <w:b/>
          <w:sz w:val="33"/>
          <w:szCs w:val="33"/>
        </w:rPr>
        <w:t>第三十七条）</w:t>
      </w:r>
      <w:proofErr w:type="gramStart"/>
      <w:r>
        <w:rPr>
          <w:rFonts w:ascii="方正仿宋_GBK" w:eastAsia="方正仿宋_GBK" w:hint="eastAsia"/>
          <w:sz w:val="33"/>
          <w:szCs w:val="33"/>
        </w:rPr>
        <w:t>临城市</w:t>
      </w:r>
      <w:proofErr w:type="gramEnd"/>
      <w:r>
        <w:rPr>
          <w:rFonts w:ascii="方正仿宋_GBK" w:eastAsia="方正仿宋_GBK" w:hint="eastAsia"/>
          <w:sz w:val="33"/>
          <w:szCs w:val="33"/>
        </w:rPr>
        <w:t>快速通道、城市主干道及景观大道的建筑，后退道路红线不小于15m，</w:t>
      </w:r>
      <w:proofErr w:type="gramStart"/>
      <w:r>
        <w:rPr>
          <w:rFonts w:ascii="方正仿宋_GBK" w:eastAsia="方正仿宋_GBK" w:hint="eastAsia"/>
          <w:sz w:val="33"/>
          <w:szCs w:val="33"/>
        </w:rPr>
        <w:t>临城市</w:t>
      </w:r>
      <w:proofErr w:type="gramEnd"/>
      <w:r>
        <w:rPr>
          <w:rFonts w:ascii="方正仿宋_GBK" w:eastAsia="方正仿宋_GBK" w:hint="eastAsia"/>
          <w:sz w:val="33"/>
          <w:szCs w:val="33"/>
        </w:rPr>
        <w:t>次干道建筑后退道路红线不小于</w:t>
      </w:r>
      <w:r>
        <w:rPr>
          <w:rFonts w:ascii="方正仿宋_GBK" w:eastAsia="方正仿宋_GBK" w:hint="eastAsia"/>
          <w:strike/>
          <w:sz w:val="33"/>
          <w:szCs w:val="33"/>
        </w:rPr>
        <w:t>（9m）</w:t>
      </w:r>
      <w:r>
        <w:rPr>
          <w:rFonts w:ascii="方正黑体_GBK" w:eastAsia="方正黑体_GBK" w:hint="eastAsia"/>
          <w:b/>
          <w:color w:val="FF0000"/>
          <w:sz w:val="33"/>
          <w:szCs w:val="33"/>
        </w:rPr>
        <w:t>7m，</w:t>
      </w:r>
      <w:proofErr w:type="gramStart"/>
      <w:r>
        <w:rPr>
          <w:rFonts w:ascii="方正仿宋_GBK" w:eastAsia="方正仿宋_GBK" w:hint="eastAsia"/>
          <w:sz w:val="33"/>
          <w:szCs w:val="33"/>
        </w:rPr>
        <w:t>临城市</w:t>
      </w:r>
      <w:proofErr w:type="gramEnd"/>
      <w:r>
        <w:rPr>
          <w:rFonts w:ascii="方正仿宋_GBK" w:eastAsia="方正仿宋_GBK" w:hint="eastAsia"/>
          <w:sz w:val="33"/>
          <w:szCs w:val="33"/>
        </w:rPr>
        <w:t>支道建筑后退道路红线不小于</w:t>
      </w:r>
      <w:r>
        <w:rPr>
          <w:rFonts w:ascii="方正仿宋_GBK" w:eastAsia="方正仿宋_GBK" w:hint="eastAsia"/>
          <w:strike/>
          <w:sz w:val="33"/>
          <w:szCs w:val="33"/>
        </w:rPr>
        <w:t>（6m）</w:t>
      </w:r>
      <w:r>
        <w:rPr>
          <w:rFonts w:ascii="方正黑体_GBK" w:eastAsia="方正黑体_GBK" w:hint="eastAsia"/>
          <w:b/>
          <w:color w:val="FF0000"/>
          <w:sz w:val="33"/>
          <w:szCs w:val="33"/>
        </w:rPr>
        <w:t>5m</w:t>
      </w:r>
      <w:r>
        <w:rPr>
          <w:rFonts w:ascii="方正黑体_GBK" w:eastAsia="方正黑体_GBK" w:hint="eastAsia"/>
          <w:b/>
          <w:sz w:val="33"/>
          <w:szCs w:val="33"/>
        </w:rPr>
        <w:t>。</w:t>
      </w:r>
    </w:p>
    <w:p w:rsidR="009E7F55" w:rsidRDefault="009E7F55" w:rsidP="009E7F55">
      <w:pPr>
        <w:ind w:firstLine="660"/>
        <w:rPr>
          <w:rFonts w:ascii="方正仿宋_GBK" w:eastAsia="方正仿宋_GBK" w:hint="eastAsia"/>
          <w:sz w:val="33"/>
          <w:szCs w:val="33"/>
        </w:rPr>
      </w:pPr>
      <w:r>
        <w:rPr>
          <w:rFonts w:ascii="方正仿宋_GBK" w:eastAsia="方正仿宋_GBK" w:hint="eastAsia"/>
          <w:sz w:val="33"/>
          <w:szCs w:val="33"/>
        </w:rPr>
        <w:t>1.</w:t>
      </w:r>
      <w:proofErr w:type="gramStart"/>
      <w:r>
        <w:rPr>
          <w:rFonts w:ascii="方正仿宋_GBK" w:eastAsia="方正仿宋_GBK" w:hint="eastAsia"/>
          <w:sz w:val="33"/>
          <w:szCs w:val="33"/>
        </w:rPr>
        <w:t>临城市</w:t>
      </w:r>
      <w:proofErr w:type="gramEnd"/>
      <w:r>
        <w:rPr>
          <w:rFonts w:ascii="方正仿宋_GBK" w:eastAsia="方正仿宋_GBK" w:hint="eastAsia"/>
          <w:sz w:val="33"/>
          <w:szCs w:val="33"/>
        </w:rPr>
        <w:t>主干道建筑高度大于27米小于80米的，</w:t>
      </w:r>
      <w:proofErr w:type="gramStart"/>
      <w:r>
        <w:rPr>
          <w:rFonts w:ascii="方正仿宋_GBK" w:eastAsia="方正仿宋_GBK" w:hint="eastAsia"/>
          <w:sz w:val="33"/>
          <w:szCs w:val="33"/>
        </w:rPr>
        <w:t>退距系数</w:t>
      </w:r>
      <w:proofErr w:type="gramEnd"/>
      <w:r>
        <w:rPr>
          <w:rFonts w:ascii="方正仿宋_GBK" w:eastAsia="方正仿宋_GBK" w:hint="eastAsia"/>
          <w:sz w:val="33"/>
          <w:szCs w:val="33"/>
        </w:rPr>
        <w:t>为1.3；80米及以上的，</w:t>
      </w:r>
      <w:proofErr w:type="gramStart"/>
      <w:r>
        <w:rPr>
          <w:rFonts w:ascii="方正仿宋_GBK" w:eastAsia="方正仿宋_GBK" w:hint="eastAsia"/>
          <w:sz w:val="33"/>
          <w:szCs w:val="33"/>
        </w:rPr>
        <w:t>退距系数</w:t>
      </w:r>
      <w:proofErr w:type="gramEnd"/>
      <w:r>
        <w:rPr>
          <w:rFonts w:ascii="方正仿宋_GBK" w:eastAsia="方正仿宋_GBK" w:hint="eastAsia"/>
          <w:sz w:val="33"/>
          <w:szCs w:val="33"/>
        </w:rPr>
        <w:t>为1.5。</w:t>
      </w:r>
    </w:p>
    <w:p w:rsidR="009E7F55" w:rsidRDefault="009E7F55" w:rsidP="009E7F55">
      <w:pPr>
        <w:ind w:firstLine="660"/>
        <w:rPr>
          <w:rFonts w:ascii="方正仿宋_GBK" w:eastAsia="方正仿宋_GBK" w:hint="eastAsia"/>
          <w:sz w:val="33"/>
          <w:szCs w:val="33"/>
        </w:rPr>
      </w:pPr>
      <w:r>
        <w:rPr>
          <w:rFonts w:ascii="方正仿宋_GBK" w:eastAsia="方正仿宋_GBK" w:hint="eastAsia"/>
          <w:sz w:val="33"/>
          <w:szCs w:val="33"/>
        </w:rPr>
        <w:t>2.工业建筑后退规划道路红线、绿线、蓝线等距离同时满足相关规定要求。</w:t>
      </w:r>
    </w:p>
    <w:p w:rsidR="009E7F55" w:rsidRDefault="009E7F55" w:rsidP="009E7F55">
      <w:pPr>
        <w:ind w:firstLine="660"/>
        <w:rPr>
          <w:rFonts w:ascii="方正仿宋_GBK" w:eastAsia="方正仿宋_GBK" w:hint="eastAsia"/>
          <w:bCs/>
          <w:sz w:val="33"/>
          <w:szCs w:val="33"/>
        </w:rPr>
      </w:pPr>
      <w:r>
        <w:rPr>
          <w:rFonts w:ascii="方正仿宋_GBK" w:eastAsia="方正仿宋_GBK" w:hint="eastAsia"/>
          <w:bCs/>
          <w:sz w:val="33"/>
          <w:szCs w:val="33"/>
        </w:rPr>
        <w:lastRenderedPageBreak/>
        <w:t>七、</w:t>
      </w:r>
      <w:r>
        <w:rPr>
          <w:rFonts w:ascii="宋体" w:hAnsi="宋体" w:cs="宋体" w:hint="eastAsia"/>
          <w:b/>
          <w:sz w:val="33"/>
          <w:szCs w:val="33"/>
        </w:rPr>
        <w:t>（修订</w:t>
      </w:r>
      <w:r>
        <w:rPr>
          <w:rFonts w:ascii="方正楷体简体" w:eastAsia="方正楷体简体"/>
          <w:b/>
          <w:sz w:val="33"/>
          <w:szCs w:val="33"/>
        </w:rPr>
        <w:t>“</w:t>
      </w:r>
      <w:r>
        <w:rPr>
          <w:rFonts w:ascii="宋体" w:hAnsi="宋体" w:cs="宋体" w:hint="eastAsia"/>
          <w:b/>
          <w:sz w:val="33"/>
          <w:szCs w:val="33"/>
        </w:rPr>
        <w:t>技术规定</w:t>
      </w:r>
      <w:r>
        <w:rPr>
          <w:rFonts w:ascii="方正楷体简体" w:eastAsia="方正楷体简体"/>
          <w:b/>
          <w:sz w:val="33"/>
          <w:szCs w:val="33"/>
        </w:rPr>
        <w:t>”</w:t>
      </w:r>
      <w:r>
        <w:rPr>
          <w:rFonts w:ascii="宋体" w:hAnsi="宋体" w:cs="宋体" w:hint="eastAsia"/>
          <w:b/>
          <w:sz w:val="33"/>
          <w:szCs w:val="33"/>
        </w:rPr>
        <w:t>第三十九条）</w:t>
      </w:r>
      <w:r>
        <w:rPr>
          <w:rFonts w:ascii="方正仿宋_GBK" w:eastAsia="方正仿宋_GBK" w:hint="eastAsia"/>
          <w:bCs/>
          <w:sz w:val="33"/>
          <w:szCs w:val="33"/>
        </w:rPr>
        <w:t>地下建（构）筑物外边线及相关附属设施后退道路红线的距离原则上不突破地上建筑物边线，因用地条件确有困难的，退主干道不小于9m，其他道路不小于</w:t>
      </w:r>
      <w:r>
        <w:rPr>
          <w:rFonts w:ascii="方正仿宋_GBK" w:eastAsia="方正仿宋_GBK" w:hint="eastAsia"/>
          <w:bCs/>
          <w:strike/>
          <w:sz w:val="33"/>
          <w:szCs w:val="33"/>
        </w:rPr>
        <w:t>（6m）</w:t>
      </w:r>
      <w:r>
        <w:rPr>
          <w:rFonts w:ascii="方正黑体_GBK" w:eastAsia="方正黑体_GBK" w:hint="eastAsia"/>
          <w:b/>
          <w:bCs/>
          <w:color w:val="FF0000"/>
          <w:sz w:val="33"/>
          <w:szCs w:val="33"/>
        </w:rPr>
        <w:t>5m。</w:t>
      </w:r>
    </w:p>
    <w:p w:rsidR="009E7F55" w:rsidRDefault="009E7F55" w:rsidP="009E7F55">
      <w:pPr>
        <w:ind w:firstLine="660"/>
        <w:rPr>
          <w:rFonts w:ascii="方正仿宋_GBK" w:eastAsia="方正仿宋_GBK" w:hint="eastAsia"/>
          <w:sz w:val="33"/>
          <w:szCs w:val="33"/>
        </w:rPr>
      </w:pPr>
      <w:r>
        <w:rPr>
          <w:rFonts w:ascii="方正仿宋_GBK" w:eastAsia="方正仿宋_GBK" w:hint="eastAsia"/>
          <w:bCs/>
          <w:sz w:val="33"/>
          <w:szCs w:val="33"/>
        </w:rPr>
        <w:t>八、</w:t>
      </w:r>
      <w:r>
        <w:rPr>
          <w:rFonts w:ascii="宋体" w:hAnsi="宋体" w:cs="宋体" w:hint="eastAsia"/>
          <w:b/>
          <w:sz w:val="33"/>
          <w:szCs w:val="33"/>
        </w:rPr>
        <w:t>（新增）</w:t>
      </w:r>
      <w:r>
        <w:rPr>
          <w:rFonts w:ascii="方正仿宋_GBK" w:eastAsia="方正仿宋_GBK" w:hint="eastAsia"/>
          <w:sz w:val="33"/>
          <w:szCs w:val="33"/>
        </w:rPr>
        <w:t>超高层建筑应按国家规范要求设置避难层，避难层的建筑面积按照其围护结构外围水平投影面积计算。避难层结构层高不大于该建筑标准层高的，其建筑面积不计</w:t>
      </w:r>
      <w:proofErr w:type="gramStart"/>
      <w:r>
        <w:rPr>
          <w:rFonts w:ascii="方正仿宋_GBK" w:eastAsia="方正仿宋_GBK" w:hint="eastAsia"/>
          <w:sz w:val="33"/>
          <w:szCs w:val="33"/>
        </w:rPr>
        <w:t>入计容</w:t>
      </w:r>
      <w:proofErr w:type="gramEnd"/>
      <w:r>
        <w:rPr>
          <w:rFonts w:ascii="方正仿宋_GBK" w:eastAsia="方正仿宋_GBK" w:hint="eastAsia"/>
          <w:sz w:val="33"/>
          <w:szCs w:val="33"/>
        </w:rPr>
        <w:t>建筑面积（楼梯间、电梯间、前室等空间除外）；</w:t>
      </w:r>
      <w:proofErr w:type="gramStart"/>
      <w:r>
        <w:rPr>
          <w:rFonts w:ascii="方正仿宋_GBK" w:eastAsia="方正仿宋_GBK" w:hint="eastAsia"/>
          <w:sz w:val="33"/>
          <w:szCs w:val="33"/>
        </w:rPr>
        <w:t>避难层兼作</w:t>
      </w:r>
      <w:proofErr w:type="gramEnd"/>
      <w:r>
        <w:rPr>
          <w:rFonts w:ascii="方正仿宋_GBK" w:eastAsia="方正仿宋_GBK" w:hint="eastAsia"/>
          <w:sz w:val="33"/>
          <w:szCs w:val="33"/>
        </w:rPr>
        <w:t>设备层的，其层高在该建筑标准层</w:t>
      </w:r>
      <w:proofErr w:type="gramStart"/>
      <w:r>
        <w:rPr>
          <w:rFonts w:ascii="方正仿宋_GBK" w:eastAsia="方正仿宋_GBK" w:hint="eastAsia"/>
          <w:sz w:val="33"/>
          <w:szCs w:val="33"/>
        </w:rPr>
        <w:t>高基础</w:t>
      </w:r>
      <w:proofErr w:type="gramEnd"/>
      <w:r>
        <w:rPr>
          <w:rFonts w:ascii="方正仿宋_GBK" w:eastAsia="方正仿宋_GBK" w:hint="eastAsia"/>
          <w:sz w:val="33"/>
          <w:szCs w:val="33"/>
        </w:rPr>
        <w:t>上增加不超过1.5米的，不计</w:t>
      </w:r>
      <w:proofErr w:type="gramStart"/>
      <w:r>
        <w:rPr>
          <w:rFonts w:ascii="方正仿宋_GBK" w:eastAsia="方正仿宋_GBK" w:hint="eastAsia"/>
          <w:sz w:val="33"/>
          <w:szCs w:val="33"/>
        </w:rPr>
        <w:t>入计容</w:t>
      </w:r>
      <w:proofErr w:type="gramEnd"/>
      <w:r>
        <w:rPr>
          <w:rFonts w:ascii="方正仿宋_GBK" w:eastAsia="方正仿宋_GBK" w:hint="eastAsia"/>
          <w:sz w:val="33"/>
          <w:szCs w:val="33"/>
        </w:rPr>
        <w:t>建筑面积。</w:t>
      </w:r>
    </w:p>
    <w:p w:rsidR="009E7F55" w:rsidRDefault="009E7F55" w:rsidP="009E7F55">
      <w:pPr>
        <w:ind w:firstLine="660"/>
        <w:rPr>
          <w:rFonts w:ascii="方正仿宋_GBK" w:eastAsia="方正仿宋_GBK" w:hint="eastAsia"/>
          <w:bCs/>
          <w:sz w:val="33"/>
          <w:szCs w:val="33"/>
        </w:rPr>
      </w:pPr>
      <w:r>
        <w:rPr>
          <w:rFonts w:ascii="方正仿宋_GBK" w:eastAsia="方正仿宋_GBK" w:hint="eastAsia"/>
          <w:bCs/>
          <w:sz w:val="33"/>
          <w:szCs w:val="33"/>
        </w:rPr>
        <w:t>九、</w:t>
      </w:r>
      <w:r>
        <w:rPr>
          <w:rFonts w:ascii="宋体" w:hAnsi="宋体" w:cs="宋体" w:hint="eastAsia"/>
          <w:b/>
          <w:bCs/>
          <w:sz w:val="33"/>
          <w:szCs w:val="33"/>
        </w:rPr>
        <w:t>（</w:t>
      </w:r>
      <w:r>
        <w:rPr>
          <w:rFonts w:ascii="宋体" w:hAnsi="宋体" w:cs="宋体" w:hint="eastAsia"/>
          <w:b/>
          <w:sz w:val="33"/>
          <w:szCs w:val="33"/>
        </w:rPr>
        <w:t>修订</w:t>
      </w:r>
      <w:r>
        <w:rPr>
          <w:rFonts w:ascii="方正楷体简体" w:eastAsia="方正楷体简体"/>
          <w:b/>
          <w:sz w:val="33"/>
          <w:szCs w:val="33"/>
        </w:rPr>
        <w:t>“</w:t>
      </w:r>
      <w:r>
        <w:rPr>
          <w:rFonts w:ascii="宋体" w:hAnsi="宋体" w:cs="宋体" w:hint="eastAsia"/>
          <w:b/>
          <w:sz w:val="33"/>
          <w:szCs w:val="33"/>
        </w:rPr>
        <w:t>技术规定</w:t>
      </w:r>
      <w:r>
        <w:rPr>
          <w:rFonts w:ascii="方正楷体简体" w:eastAsia="方正楷体简体"/>
          <w:b/>
          <w:sz w:val="33"/>
          <w:szCs w:val="33"/>
        </w:rPr>
        <w:t>”</w:t>
      </w:r>
      <w:r>
        <w:rPr>
          <w:rFonts w:ascii="宋体" w:hAnsi="宋体" w:cs="宋体" w:hint="eastAsia"/>
          <w:b/>
          <w:sz w:val="33"/>
          <w:szCs w:val="33"/>
        </w:rPr>
        <w:t>第四十八、四十九条</w:t>
      </w:r>
      <w:r>
        <w:rPr>
          <w:rFonts w:ascii="宋体" w:hAnsi="宋体" w:cs="宋体" w:hint="eastAsia"/>
          <w:b/>
          <w:bCs/>
          <w:sz w:val="33"/>
          <w:szCs w:val="33"/>
        </w:rPr>
        <w:t>）</w:t>
      </w:r>
      <w:r>
        <w:rPr>
          <w:rFonts w:ascii="方正仿宋_GBK" w:eastAsia="方正仿宋_GBK" w:hint="eastAsia"/>
          <w:sz w:val="33"/>
          <w:szCs w:val="33"/>
        </w:rPr>
        <w:t>酒店用房层高不应大于</w:t>
      </w:r>
      <w:r>
        <w:rPr>
          <w:rFonts w:ascii="方正仿宋_GBK" w:eastAsia="方正仿宋_GBK" w:hint="eastAsia"/>
          <w:strike/>
          <w:sz w:val="33"/>
          <w:szCs w:val="33"/>
        </w:rPr>
        <w:t>（4.2m）</w:t>
      </w:r>
      <w:r>
        <w:rPr>
          <w:rFonts w:ascii="方正黑体_GBK" w:eastAsia="方正黑体_GBK" w:hint="eastAsia"/>
          <w:b/>
          <w:color w:val="FF0000"/>
          <w:sz w:val="33"/>
          <w:szCs w:val="33"/>
        </w:rPr>
        <w:t>4.9m，</w:t>
      </w:r>
      <w:r>
        <w:rPr>
          <w:rFonts w:ascii="方正仿宋_GBK" w:eastAsia="方正仿宋_GBK" w:hint="eastAsia"/>
          <w:sz w:val="33"/>
          <w:szCs w:val="33"/>
        </w:rPr>
        <w:t>商业用房层高不应大于</w:t>
      </w:r>
      <w:r>
        <w:rPr>
          <w:rFonts w:ascii="方正仿宋_GBK" w:eastAsia="方正仿宋_GBK" w:hint="eastAsia"/>
          <w:strike/>
          <w:sz w:val="33"/>
          <w:szCs w:val="33"/>
        </w:rPr>
        <w:t>（5.1m）</w:t>
      </w:r>
      <w:r>
        <w:rPr>
          <w:rFonts w:ascii="方正黑体_GBK" w:eastAsia="方正黑体_GBK" w:hint="eastAsia"/>
          <w:b/>
          <w:color w:val="FF0000"/>
          <w:sz w:val="33"/>
          <w:szCs w:val="33"/>
        </w:rPr>
        <w:t>5.7 m，</w:t>
      </w:r>
      <w:r>
        <w:rPr>
          <w:rFonts w:ascii="方正仿宋_GBK" w:eastAsia="方正仿宋_GBK" w:hint="eastAsia"/>
          <w:bCs/>
          <w:sz w:val="33"/>
          <w:szCs w:val="33"/>
        </w:rPr>
        <w:t>建筑公共部分的门厅、大堂、中庭等除外。超市、大型商场、专卖店、餐饮、娱乐健身等功能集中布置的单一空间达到2000㎡以上的商业建筑，以及电影院、体育场馆、博物馆、多功能厅、展示厅、报告会议厅、宴会厅、学校、医院等有特殊功能需要的建筑层高可根据功能要求适当提高。</w:t>
      </w:r>
    </w:p>
    <w:p w:rsidR="009E7F55" w:rsidRDefault="009E7F55" w:rsidP="009E7F55">
      <w:pPr>
        <w:ind w:firstLine="660"/>
        <w:rPr>
          <w:rFonts w:ascii="方正仿宋_GBK" w:eastAsia="方正仿宋_GBK" w:hint="eastAsia"/>
          <w:bCs/>
          <w:sz w:val="33"/>
          <w:szCs w:val="33"/>
        </w:rPr>
      </w:pPr>
      <w:r>
        <w:rPr>
          <w:rFonts w:ascii="方正仿宋_GBK" w:eastAsia="方正仿宋_GBK" w:hint="eastAsia"/>
          <w:bCs/>
          <w:sz w:val="33"/>
          <w:szCs w:val="33"/>
        </w:rPr>
        <w:t>十、</w:t>
      </w:r>
      <w:r>
        <w:rPr>
          <w:rFonts w:ascii="宋体" w:hAnsi="宋体" w:cs="宋体" w:hint="eastAsia"/>
          <w:b/>
          <w:bCs/>
          <w:sz w:val="33"/>
          <w:szCs w:val="33"/>
        </w:rPr>
        <w:t>（</w:t>
      </w:r>
      <w:r>
        <w:rPr>
          <w:rFonts w:ascii="宋体" w:hAnsi="宋体" w:cs="宋体" w:hint="eastAsia"/>
          <w:b/>
          <w:sz w:val="33"/>
          <w:szCs w:val="33"/>
        </w:rPr>
        <w:t>修订</w:t>
      </w:r>
      <w:r>
        <w:rPr>
          <w:rFonts w:ascii="方正楷体简体" w:eastAsia="方正楷体简体"/>
          <w:b/>
          <w:sz w:val="33"/>
          <w:szCs w:val="33"/>
        </w:rPr>
        <w:t>“</w:t>
      </w:r>
      <w:r>
        <w:rPr>
          <w:rFonts w:ascii="宋体" w:hAnsi="宋体" w:cs="宋体" w:hint="eastAsia"/>
          <w:b/>
          <w:sz w:val="33"/>
          <w:szCs w:val="33"/>
        </w:rPr>
        <w:t>技术规定</w:t>
      </w:r>
      <w:r>
        <w:rPr>
          <w:rFonts w:ascii="方正楷体简体" w:eastAsia="方正楷体简体"/>
          <w:b/>
          <w:sz w:val="33"/>
          <w:szCs w:val="33"/>
        </w:rPr>
        <w:t>”</w:t>
      </w:r>
      <w:r>
        <w:rPr>
          <w:rFonts w:ascii="宋体" w:hAnsi="宋体" w:cs="宋体" w:hint="eastAsia"/>
          <w:b/>
          <w:sz w:val="33"/>
          <w:szCs w:val="33"/>
        </w:rPr>
        <w:t>第五十条</w:t>
      </w:r>
      <w:r>
        <w:rPr>
          <w:rFonts w:ascii="宋体" w:hAnsi="宋体" w:cs="宋体" w:hint="eastAsia"/>
          <w:b/>
          <w:bCs/>
          <w:sz w:val="33"/>
          <w:szCs w:val="33"/>
        </w:rPr>
        <w:t>）</w:t>
      </w:r>
      <w:r>
        <w:rPr>
          <w:rFonts w:ascii="方正仿宋_GBK" w:eastAsia="方正仿宋_GBK" w:hint="eastAsia"/>
          <w:sz w:val="32"/>
          <w:szCs w:val="32"/>
        </w:rPr>
        <w:t>商业、办公类建筑宜采用开敞式大空间或公共走廊式布局，开水间、卫生间、管道井等应集中设计，其立面不得设置开敞式阳台，空调室外机位和各类管线应做遮蔽、美化处理。</w:t>
      </w:r>
    </w:p>
    <w:p w:rsidR="009E7F55" w:rsidRDefault="009E7F55" w:rsidP="009E7F55">
      <w:pPr>
        <w:ind w:firstLine="660"/>
        <w:rPr>
          <w:rFonts w:ascii="方正仿宋_GBK" w:eastAsia="方正仿宋_GBK" w:hint="eastAsia"/>
          <w:bCs/>
          <w:sz w:val="33"/>
          <w:szCs w:val="33"/>
        </w:rPr>
      </w:pPr>
      <w:r>
        <w:rPr>
          <w:rFonts w:ascii="方正仿宋_GBK" w:eastAsia="方正仿宋_GBK" w:hint="eastAsia"/>
          <w:bCs/>
          <w:sz w:val="33"/>
          <w:szCs w:val="33"/>
        </w:rPr>
        <w:lastRenderedPageBreak/>
        <w:t>十一、</w:t>
      </w:r>
      <w:r>
        <w:rPr>
          <w:rFonts w:ascii="宋体" w:hAnsi="宋体" w:cs="宋体" w:hint="eastAsia"/>
          <w:b/>
          <w:bCs/>
          <w:sz w:val="33"/>
          <w:szCs w:val="33"/>
        </w:rPr>
        <w:t>（</w:t>
      </w:r>
      <w:r>
        <w:rPr>
          <w:rFonts w:ascii="宋体" w:hAnsi="宋体" w:cs="宋体" w:hint="eastAsia"/>
          <w:b/>
          <w:sz w:val="33"/>
          <w:szCs w:val="33"/>
        </w:rPr>
        <w:t>修订</w:t>
      </w:r>
      <w:r>
        <w:rPr>
          <w:rFonts w:ascii="方正楷体简体" w:eastAsia="方正楷体简体"/>
          <w:b/>
          <w:sz w:val="33"/>
          <w:szCs w:val="33"/>
        </w:rPr>
        <w:t>“</w:t>
      </w:r>
      <w:r>
        <w:rPr>
          <w:rFonts w:ascii="宋体" w:hAnsi="宋体" w:cs="宋体" w:hint="eastAsia"/>
          <w:b/>
          <w:sz w:val="33"/>
          <w:szCs w:val="33"/>
        </w:rPr>
        <w:t>技术规定</w:t>
      </w:r>
      <w:r>
        <w:rPr>
          <w:rFonts w:ascii="方正楷体简体" w:eastAsia="方正楷体简体"/>
          <w:b/>
          <w:sz w:val="33"/>
          <w:szCs w:val="33"/>
        </w:rPr>
        <w:t>”</w:t>
      </w:r>
      <w:r>
        <w:rPr>
          <w:rFonts w:ascii="宋体" w:hAnsi="宋体" w:cs="宋体" w:hint="eastAsia"/>
          <w:b/>
          <w:sz w:val="33"/>
          <w:szCs w:val="33"/>
        </w:rPr>
        <w:t>第五十三条</w:t>
      </w:r>
      <w:r>
        <w:rPr>
          <w:rFonts w:ascii="宋体" w:hAnsi="宋体" w:cs="宋体" w:hint="eastAsia"/>
          <w:b/>
          <w:bCs/>
          <w:sz w:val="33"/>
          <w:szCs w:val="33"/>
        </w:rPr>
        <w:t>）</w:t>
      </w:r>
      <w:r>
        <w:rPr>
          <w:rFonts w:ascii="方正仿宋_GBK" w:eastAsia="方正仿宋_GBK" w:hint="eastAsia"/>
          <w:bCs/>
          <w:sz w:val="33"/>
          <w:szCs w:val="33"/>
        </w:rPr>
        <w:t>除避让、连接市政公共地下空间外，建筑物地下室、半地下室的顶板面不应高于室外地坪1.0m；确因地形或周边建筑物无法开挖，在相对于相邻城市道路高程</w:t>
      </w:r>
      <w:proofErr w:type="gramStart"/>
      <w:r>
        <w:rPr>
          <w:rFonts w:ascii="方正仿宋_GBK" w:eastAsia="方正仿宋_GBK" w:hint="eastAsia"/>
          <w:bCs/>
          <w:sz w:val="33"/>
          <w:szCs w:val="33"/>
        </w:rPr>
        <w:t>面设置</w:t>
      </w:r>
      <w:proofErr w:type="gramEnd"/>
      <w:r>
        <w:rPr>
          <w:rFonts w:ascii="方正仿宋_GBK" w:eastAsia="方正仿宋_GBK" w:hint="eastAsia"/>
          <w:bCs/>
          <w:sz w:val="33"/>
          <w:szCs w:val="33"/>
        </w:rPr>
        <w:t>停车或设备用房的，除邻城市道路以外三面嵌入，其规划建筑</w:t>
      </w:r>
      <w:proofErr w:type="gramStart"/>
      <w:r>
        <w:rPr>
          <w:rFonts w:ascii="方正仿宋_GBK" w:eastAsia="方正仿宋_GBK" w:hint="eastAsia"/>
          <w:bCs/>
          <w:sz w:val="33"/>
          <w:szCs w:val="33"/>
        </w:rPr>
        <w:t>邻</w:t>
      </w:r>
      <w:proofErr w:type="gramEnd"/>
      <w:r>
        <w:rPr>
          <w:rFonts w:ascii="方正仿宋_GBK" w:eastAsia="方正仿宋_GBK" w:hint="eastAsia"/>
          <w:bCs/>
          <w:sz w:val="33"/>
          <w:szCs w:val="33"/>
        </w:rPr>
        <w:t>城市道路</w:t>
      </w:r>
      <w:r>
        <w:rPr>
          <w:rFonts w:ascii="方正仿宋_GBK" w:eastAsia="方正仿宋_GBK" w:hint="eastAsia"/>
          <w:bCs/>
          <w:strike/>
          <w:sz w:val="33"/>
          <w:szCs w:val="33"/>
        </w:rPr>
        <w:t>（16m）</w:t>
      </w:r>
      <w:r>
        <w:rPr>
          <w:rFonts w:ascii="方正黑体_GBK" w:eastAsia="方正黑体_GBK" w:hint="eastAsia"/>
          <w:b/>
          <w:bCs/>
          <w:color w:val="FF0000"/>
          <w:sz w:val="33"/>
          <w:szCs w:val="33"/>
        </w:rPr>
        <w:t>12m</w:t>
      </w:r>
      <w:r>
        <w:rPr>
          <w:rFonts w:ascii="方正仿宋_GBK" w:eastAsia="方正仿宋_GBK" w:hint="eastAsia"/>
          <w:bCs/>
          <w:sz w:val="33"/>
          <w:szCs w:val="33"/>
        </w:rPr>
        <w:t>进深区域计入容积率。</w:t>
      </w:r>
    </w:p>
    <w:p w:rsidR="009E7F55" w:rsidRDefault="009E7F55" w:rsidP="009E7F55">
      <w:pPr>
        <w:ind w:firstLine="660"/>
        <w:rPr>
          <w:rFonts w:ascii="方正仿宋_GBK" w:eastAsia="方正仿宋_GBK" w:hint="eastAsia"/>
          <w:bCs/>
          <w:sz w:val="33"/>
          <w:szCs w:val="33"/>
        </w:rPr>
      </w:pPr>
      <w:r>
        <w:rPr>
          <w:rFonts w:ascii="方正仿宋_GBK" w:eastAsia="方正仿宋_GBK" w:hint="eastAsia"/>
          <w:bCs/>
          <w:sz w:val="33"/>
          <w:szCs w:val="33"/>
        </w:rPr>
        <w:t>十二、</w:t>
      </w:r>
      <w:r>
        <w:rPr>
          <w:rFonts w:ascii="宋体" w:hAnsi="宋体" w:cs="宋体" w:hint="eastAsia"/>
          <w:b/>
          <w:bCs/>
          <w:sz w:val="33"/>
          <w:szCs w:val="33"/>
        </w:rPr>
        <w:t>（新增）</w:t>
      </w:r>
      <w:r>
        <w:rPr>
          <w:rFonts w:ascii="方正仿宋_GBK" w:eastAsia="方正仿宋_GBK" w:hint="eastAsia"/>
          <w:bCs/>
          <w:sz w:val="33"/>
          <w:szCs w:val="33"/>
        </w:rPr>
        <w:t>城市森林花园建筑的规划设计按《巴中市城市规划管理技术规定（2020版）补充规定》、巴中市自然资源和规划局《关于进一步明确城市森林花园建筑试点有关事项的通知》（</w:t>
      </w:r>
      <w:proofErr w:type="gramStart"/>
      <w:r>
        <w:rPr>
          <w:rFonts w:ascii="方正仿宋_GBK" w:eastAsia="方正仿宋_GBK" w:hint="eastAsia"/>
          <w:bCs/>
          <w:sz w:val="33"/>
          <w:szCs w:val="33"/>
        </w:rPr>
        <w:t>巴自然资规</w:t>
      </w:r>
      <w:proofErr w:type="gramEnd"/>
      <w:r>
        <w:rPr>
          <w:rFonts w:ascii="方正仿宋_GBK" w:eastAsia="方正仿宋_GBK" w:hint="eastAsia"/>
          <w:bCs/>
          <w:sz w:val="33"/>
          <w:szCs w:val="33"/>
        </w:rPr>
        <w:t>发〔2023〕37号）执行，其公共平台、空中花园可分开实施，并按实施的具体情况享受对应的激励政策。城市森林花园建筑套内面积的要求下调至不小于80平方米。</w:t>
      </w:r>
    </w:p>
    <w:p w:rsidR="009E7F55" w:rsidRDefault="009E7F55" w:rsidP="009E7F55">
      <w:pPr>
        <w:ind w:firstLine="660"/>
        <w:rPr>
          <w:rFonts w:ascii="方正仿宋_GBK" w:eastAsia="方正仿宋_GBK" w:hint="eastAsia"/>
          <w:bCs/>
          <w:sz w:val="33"/>
          <w:szCs w:val="33"/>
        </w:rPr>
      </w:pPr>
      <w:r>
        <w:rPr>
          <w:rFonts w:ascii="方正仿宋_GBK" w:eastAsia="方正仿宋_GBK" w:hint="eastAsia"/>
          <w:bCs/>
          <w:sz w:val="33"/>
          <w:szCs w:val="33"/>
        </w:rPr>
        <w:t>十三、</w:t>
      </w:r>
      <w:r>
        <w:rPr>
          <w:rFonts w:ascii="宋体" w:hAnsi="宋体" w:cs="宋体" w:hint="eastAsia"/>
          <w:b/>
          <w:bCs/>
          <w:sz w:val="33"/>
          <w:szCs w:val="33"/>
        </w:rPr>
        <w:t>（</w:t>
      </w:r>
      <w:r>
        <w:rPr>
          <w:rFonts w:ascii="宋体" w:hAnsi="宋体" w:cs="宋体" w:hint="eastAsia"/>
          <w:b/>
          <w:sz w:val="33"/>
          <w:szCs w:val="33"/>
        </w:rPr>
        <w:t>修订</w:t>
      </w:r>
      <w:r>
        <w:rPr>
          <w:rFonts w:ascii="方正楷体简体" w:eastAsia="方正楷体简体"/>
          <w:b/>
          <w:sz w:val="33"/>
          <w:szCs w:val="33"/>
        </w:rPr>
        <w:t>“</w:t>
      </w:r>
      <w:r>
        <w:rPr>
          <w:rFonts w:ascii="宋体" w:hAnsi="宋体" w:cs="宋体" w:hint="eastAsia"/>
          <w:b/>
          <w:sz w:val="33"/>
          <w:szCs w:val="33"/>
        </w:rPr>
        <w:t>技术规定</w:t>
      </w:r>
      <w:r>
        <w:rPr>
          <w:rFonts w:ascii="方正楷体简体" w:eastAsia="方正楷体简体"/>
          <w:b/>
          <w:sz w:val="33"/>
          <w:szCs w:val="33"/>
        </w:rPr>
        <w:t>”</w:t>
      </w:r>
      <w:r>
        <w:rPr>
          <w:rFonts w:ascii="宋体" w:hAnsi="宋体" w:cs="宋体" w:hint="eastAsia"/>
          <w:b/>
          <w:sz w:val="33"/>
          <w:szCs w:val="33"/>
        </w:rPr>
        <w:t>第五十六、六十三条</w:t>
      </w:r>
      <w:r>
        <w:rPr>
          <w:rFonts w:ascii="宋体" w:hAnsi="宋体" w:cs="宋体" w:hint="eastAsia"/>
          <w:b/>
          <w:bCs/>
          <w:sz w:val="33"/>
          <w:szCs w:val="33"/>
        </w:rPr>
        <w:t>）</w:t>
      </w:r>
      <w:r>
        <w:rPr>
          <w:rFonts w:ascii="方正仿宋_GBK" w:eastAsia="方正仿宋_GBK" w:hint="eastAsia"/>
          <w:bCs/>
          <w:sz w:val="33"/>
          <w:szCs w:val="33"/>
        </w:rPr>
        <w:t>建筑屋顶造型应与城市天际轮廓线、周边环境及建筑主体相协调。低、多层建筑宜采用坡屋顶形式；高层住宅屋顶应结合功能优先采用退台、收分等造型变化；平屋顶建筑应采用屋顶绿化等形式美化建筑第五立面。</w:t>
      </w:r>
      <w:proofErr w:type="gramStart"/>
      <w:r>
        <w:rPr>
          <w:rFonts w:ascii="方正仿宋_GBK" w:eastAsia="方正仿宋_GBK" w:hint="eastAsia"/>
          <w:bCs/>
          <w:sz w:val="33"/>
          <w:szCs w:val="33"/>
        </w:rPr>
        <w:t>临城市</w:t>
      </w:r>
      <w:proofErr w:type="gramEnd"/>
      <w:r>
        <w:rPr>
          <w:rFonts w:ascii="方正仿宋_GBK" w:eastAsia="方正仿宋_GBK" w:hint="eastAsia"/>
          <w:bCs/>
          <w:sz w:val="33"/>
          <w:szCs w:val="33"/>
        </w:rPr>
        <w:t>主干道、大型广场、重要景观节点的高层居住建筑，其外立面应采用公共建筑造型，阳台宜封闭，并对搁板、空调室外机位及各类管线进行遮蔽美化处理。</w:t>
      </w:r>
    </w:p>
    <w:p w:rsidR="009E7F55" w:rsidRDefault="009E7F55" w:rsidP="009E7F55">
      <w:pPr>
        <w:ind w:firstLine="660"/>
        <w:rPr>
          <w:rFonts w:ascii="方正仿宋_GBK" w:eastAsia="方正仿宋_GBK" w:hint="eastAsia"/>
          <w:bCs/>
          <w:sz w:val="33"/>
          <w:szCs w:val="33"/>
        </w:rPr>
      </w:pPr>
      <w:r>
        <w:rPr>
          <w:rFonts w:ascii="方正仿宋_GBK" w:eastAsia="方正仿宋_GBK" w:hint="eastAsia"/>
          <w:bCs/>
          <w:sz w:val="33"/>
          <w:szCs w:val="33"/>
        </w:rPr>
        <w:t>十四、</w:t>
      </w:r>
      <w:r>
        <w:rPr>
          <w:rFonts w:ascii="宋体" w:hAnsi="宋体" w:cs="宋体" w:hint="eastAsia"/>
          <w:b/>
          <w:bCs/>
          <w:sz w:val="33"/>
          <w:szCs w:val="33"/>
        </w:rPr>
        <w:t>（</w:t>
      </w:r>
      <w:r>
        <w:rPr>
          <w:rFonts w:ascii="宋体" w:hAnsi="宋体" w:cs="宋体" w:hint="eastAsia"/>
          <w:b/>
          <w:sz w:val="33"/>
          <w:szCs w:val="33"/>
        </w:rPr>
        <w:t>修订</w:t>
      </w:r>
      <w:r>
        <w:rPr>
          <w:rFonts w:ascii="方正楷体简体" w:eastAsia="方正楷体简体"/>
          <w:b/>
          <w:sz w:val="33"/>
          <w:szCs w:val="33"/>
        </w:rPr>
        <w:t>“</w:t>
      </w:r>
      <w:r>
        <w:rPr>
          <w:rFonts w:ascii="宋体" w:hAnsi="宋体" w:cs="宋体" w:hint="eastAsia"/>
          <w:b/>
          <w:sz w:val="33"/>
          <w:szCs w:val="33"/>
        </w:rPr>
        <w:t>技术规定</w:t>
      </w:r>
      <w:r>
        <w:rPr>
          <w:rFonts w:ascii="方正楷体简体" w:eastAsia="方正楷体简体"/>
          <w:b/>
          <w:sz w:val="33"/>
          <w:szCs w:val="33"/>
        </w:rPr>
        <w:t>”</w:t>
      </w:r>
      <w:r>
        <w:rPr>
          <w:rFonts w:ascii="宋体" w:hAnsi="宋体" w:cs="宋体" w:hint="eastAsia"/>
          <w:b/>
          <w:sz w:val="33"/>
          <w:szCs w:val="33"/>
        </w:rPr>
        <w:t>第六十五条</w:t>
      </w:r>
      <w:r>
        <w:rPr>
          <w:rFonts w:ascii="宋体" w:hAnsi="宋体" w:cs="宋体" w:hint="eastAsia"/>
          <w:b/>
          <w:bCs/>
          <w:sz w:val="33"/>
          <w:szCs w:val="33"/>
        </w:rPr>
        <w:t>）</w:t>
      </w:r>
      <w:proofErr w:type="gramStart"/>
      <w:r>
        <w:rPr>
          <w:rFonts w:ascii="方正仿宋_GBK" w:eastAsia="方正仿宋_GBK" w:hint="eastAsia"/>
          <w:bCs/>
          <w:sz w:val="33"/>
          <w:szCs w:val="33"/>
        </w:rPr>
        <w:t>凸</w:t>
      </w:r>
      <w:proofErr w:type="gramEnd"/>
      <w:r>
        <w:rPr>
          <w:rFonts w:ascii="方正仿宋_GBK" w:eastAsia="方正仿宋_GBK" w:hint="eastAsia"/>
          <w:bCs/>
          <w:sz w:val="33"/>
          <w:szCs w:val="33"/>
        </w:rPr>
        <w:t>（飘）窗窗台</w:t>
      </w:r>
      <w:r>
        <w:rPr>
          <w:rFonts w:ascii="方正仿宋_GBK" w:eastAsia="方正仿宋_GBK" w:hint="eastAsia"/>
          <w:bCs/>
          <w:sz w:val="33"/>
          <w:szCs w:val="33"/>
        </w:rPr>
        <w:lastRenderedPageBreak/>
        <w:t>与室内楼地面高差不得小于0.45m，且凸出外墙宽度不得大于</w:t>
      </w:r>
      <w:r>
        <w:rPr>
          <w:rFonts w:ascii="方正仿宋_GBK" w:eastAsia="方正仿宋_GBK" w:hint="eastAsia"/>
          <w:bCs/>
          <w:strike/>
          <w:sz w:val="33"/>
          <w:szCs w:val="33"/>
        </w:rPr>
        <w:t>（0.6m）</w:t>
      </w:r>
      <w:r>
        <w:rPr>
          <w:rFonts w:ascii="方正黑体_GBK" w:eastAsia="方正黑体_GBK" w:hint="eastAsia"/>
          <w:b/>
          <w:bCs/>
          <w:color w:val="FF0000"/>
          <w:sz w:val="33"/>
          <w:szCs w:val="33"/>
        </w:rPr>
        <w:t>0.8m，</w:t>
      </w:r>
      <w:proofErr w:type="gramStart"/>
      <w:r>
        <w:rPr>
          <w:rFonts w:ascii="方正仿宋_GBK" w:eastAsia="方正仿宋_GBK" w:hint="eastAsia"/>
          <w:bCs/>
          <w:sz w:val="33"/>
          <w:szCs w:val="33"/>
        </w:rPr>
        <w:t>凸</w:t>
      </w:r>
      <w:proofErr w:type="gramEnd"/>
      <w:r>
        <w:rPr>
          <w:rFonts w:ascii="方正仿宋_GBK" w:eastAsia="方正仿宋_GBK" w:hint="eastAsia"/>
          <w:bCs/>
          <w:sz w:val="33"/>
          <w:szCs w:val="33"/>
        </w:rPr>
        <w:t>（飘）窗面宽不得大于该房内开间尺寸的70%。</w:t>
      </w:r>
    </w:p>
    <w:p w:rsidR="009E7F55" w:rsidRDefault="009E7F55" w:rsidP="009E7F55">
      <w:pPr>
        <w:ind w:firstLineChars="200" w:firstLine="660"/>
        <w:rPr>
          <w:rFonts w:ascii="方正仿宋_GBK" w:eastAsia="方正仿宋_GBK" w:hint="eastAsia"/>
          <w:bCs/>
          <w:sz w:val="33"/>
          <w:szCs w:val="33"/>
        </w:rPr>
      </w:pPr>
      <w:r>
        <w:rPr>
          <w:rFonts w:ascii="方正仿宋_GBK" w:eastAsia="方正仿宋_GBK" w:hint="eastAsia"/>
          <w:bCs/>
          <w:sz w:val="33"/>
          <w:szCs w:val="33"/>
        </w:rPr>
        <w:t>十五、</w:t>
      </w:r>
      <w:r>
        <w:rPr>
          <w:rFonts w:ascii="宋体" w:hAnsi="宋体" w:cs="宋体" w:hint="eastAsia"/>
          <w:b/>
          <w:bCs/>
          <w:sz w:val="33"/>
          <w:szCs w:val="33"/>
        </w:rPr>
        <w:t>（</w:t>
      </w:r>
      <w:r>
        <w:rPr>
          <w:rFonts w:ascii="宋体" w:hAnsi="宋体" w:cs="宋体" w:hint="eastAsia"/>
          <w:b/>
          <w:sz w:val="33"/>
          <w:szCs w:val="33"/>
        </w:rPr>
        <w:t>修订</w:t>
      </w:r>
      <w:r>
        <w:rPr>
          <w:rFonts w:ascii="方正楷体简体" w:eastAsia="方正楷体简体"/>
          <w:b/>
          <w:sz w:val="33"/>
          <w:szCs w:val="33"/>
        </w:rPr>
        <w:t>“</w:t>
      </w:r>
      <w:r>
        <w:rPr>
          <w:rFonts w:ascii="宋体" w:hAnsi="宋体" w:cs="宋体" w:hint="eastAsia"/>
          <w:b/>
          <w:sz w:val="33"/>
          <w:szCs w:val="33"/>
        </w:rPr>
        <w:t>技术规定</w:t>
      </w:r>
      <w:r>
        <w:rPr>
          <w:rFonts w:ascii="方正楷体简体" w:eastAsia="方正楷体简体"/>
          <w:b/>
          <w:sz w:val="33"/>
          <w:szCs w:val="33"/>
        </w:rPr>
        <w:t>”</w:t>
      </w:r>
      <w:r>
        <w:rPr>
          <w:rFonts w:ascii="宋体" w:hAnsi="宋体" w:cs="宋体" w:hint="eastAsia"/>
          <w:b/>
          <w:sz w:val="33"/>
          <w:szCs w:val="33"/>
        </w:rPr>
        <w:t>第六十六条</w:t>
      </w:r>
      <w:r>
        <w:rPr>
          <w:rFonts w:ascii="宋体" w:hAnsi="宋体" w:cs="宋体" w:hint="eastAsia"/>
          <w:b/>
          <w:bCs/>
          <w:sz w:val="33"/>
          <w:szCs w:val="33"/>
        </w:rPr>
        <w:t>）</w:t>
      </w:r>
      <w:r>
        <w:rPr>
          <w:rFonts w:ascii="方正仿宋_GBK" w:eastAsia="方正仿宋_GBK" w:hint="eastAsia"/>
          <w:bCs/>
          <w:sz w:val="33"/>
          <w:szCs w:val="33"/>
        </w:rPr>
        <w:t>除建筑入口雨篷外，建筑附属构件的进深不应大于</w:t>
      </w:r>
      <w:r>
        <w:rPr>
          <w:rFonts w:ascii="方正仿宋_GBK" w:eastAsia="方正仿宋_GBK" w:hint="eastAsia"/>
          <w:bCs/>
          <w:strike/>
          <w:sz w:val="33"/>
          <w:szCs w:val="33"/>
        </w:rPr>
        <w:t>（0.8m）</w:t>
      </w:r>
      <w:r>
        <w:rPr>
          <w:rFonts w:ascii="方正黑体_GBK" w:eastAsia="方正黑体_GBK" w:hint="eastAsia"/>
          <w:b/>
          <w:bCs/>
          <w:color w:val="FF0000"/>
          <w:sz w:val="33"/>
          <w:szCs w:val="33"/>
        </w:rPr>
        <w:t>1.0m，</w:t>
      </w:r>
      <w:r>
        <w:rPr>
          <w:rFonts w:ascii="方正仿宋_GBK" w:eastAsia="方正仿宋_GBK" w:hint="eastAsia"/>
          <w:bCs/>
          <w:sz w:val="33"/>
          <w:szCs w:val="33"/>
        </w:rPr>
        <w:t>有结构特殊要求的除外。</w:t>
      </w:r>
    </w:p>
    <w:p w:rsidR="009E7F55" w:rsidRDefault="009E7F55" w:rsidP="009E7F55">
      <w:pPr>
        <w:ind w:firstLineChars="200" w:firstLine="660"/>
        <w:rPr>
          <w:rFonts w:ascii="方正仿宋_GBK" w:eastAsia="方正仿宋_GBK" w:hint="eastAsia"/>
          <w:bCs/>
          <w:sz w:val="33"/>
          <w:szCs w:val="33"/>
        </w:rPr>
      </w:pPr>
      <w:r>
        <w:rPr>
          <w:rFonts w:ascii="方正仿宋_GBK" w:eastAsia="方正仿宋_GBK" w:hint="eastAsia"/>
          <w:bCs/>
          <w:sz w:val="33"/>
          <w:szCs w:val="33"/>
        </w:rPr>
        <w:t>十六、</w:t>
      </w:r>
      <w:r>
        <w:rPr>
          <w:rFonts w:ascii="宋体" w:hAnsi="宋体" w:cs="宋体" w:hint="eastAsia"/>
          <w:b/>
          <w:bCs/>
          <w:sz w:val="33"/>
          <w:szCs w:val="33"/>
        </w:rPr>
        <w:t>（</w:t>
      </w:r>
      <w:r>
        <w:rPr>
          <w:rFonts w:ascii="宋体" w:hAnsi="宋体" w:cs="宋体" w:hint="eastAsia"/>
          <w:b/>
          <w:sz w:val="33"/>
          <w:szCs w:val="33"/>
        </w:rPr>
        <w:t>修订</w:t>
      </w:r>
      <w:r>
        <w:rPr>
          <w:rFonts w:ascii="方正楷体简体" w:eastAsia="方正楷体简体"/>
          <w:b/>
          <w:sz w:val="33"/>
          <w:szCs w:val="33"/>
        </w:rPr>
        <w:t>“</w:t>
      </w:r>
      <w:r>
        <w:rPr>
          <w:rFonts w:ascii="宋体" w:hAnsi="宋体" w:cs="宋体" w:hint="eastAsia"/>
          <w:b/>
          <w:sz w:val="33"/>
          <w:szCs w:val="33"/>
        </w:rPr>
        <w:t>技术规定</w:t>
      </w:r>
      <w:r>
        <w:rPr>
          <w:rFonts w:ascii="方正楷体简体" w:eastAsia="方正楷体简体"/>
          <w:b/>
          <w:sz w:val="33"/>
          <w:szCs w:val="33"/>
        </w:rPr>
        <w:t>”</w:t>
      </w:r>
      <w:r>
        <w:rPr>
          <w:rFonts w:ascii="宋体" w:hAnsi="宋体" w:cs="宋体" w:hint="eastAsia"/>
          <w:b/>
          <w:bCs/>
          <w:sz w:val="33"/>
          <w:szCs w:val="33"/>
        </w:rPr>
        <w:t>第六十七条、第九十二条）</w:t>
      </w:r>
      <w:r>
        <w:rPr>
          <w:rFonts w:ascii="方正仿宋_GBK" w:eastAsia="方正仿宋_GBK" w:hint="eastAsia"/>
          <w:bCs/>
          <w:sz w:val="33"/>
          <w:szCs w:val="33"/>
        </w:rPr>
        <w:t>新建建筑</w:t>
      </w:r>
      <w:proofErr w:type="gramStart"/>
      <w:r>
        <w:rPr>
          <w:rFonts w:ascii="方正仿宋_GBK" w:eastAsia="方正仿宋_GBK" w:hint="eastAsia"/>
          <w:bCs/>
          <w:sz w:val="33"/>
          <w:szCs w:val="33"/>
        </w:rPr>
        <w:t>宜实施</w:t>
      </w:r>
      <w:proofErr w:type="gramEnd"/>
      <w:r>
        <w:rPr>
          <w:rFonts w:ascii="方正仿宋_GBK" w:eastAsia="方正仿宋_GBK" w:hint="eastAsia"/>
          <w:bCs/>
          <w:sz w:val="33"/>
          <w:szCs w:val="33"/>
        </w:rPr>
        <w:t>屋顶绿化和立体绿化，增加绿化覆盖率，小区地下室屋顶绿化覆土深度不小于</w:t>
      </w:r>
      <w:r>
        <w:rPr>
          <w:rFonts w:ascii="方正仿宋_GBK" w:eastAsia="方正仿宋_GBK" w:hint="eastAsia"/>
          <w:bCs/>
          <w:strike/>
          <w:sz w:val="33"/>
          <w:szCs w:val="33"/>
        </w:rPr>
        <w:t>（1.5m）</w:t>
      </w:r>
      <w:r>
        <w:rPr>
          <w:rFonts w:ascii="方正黑体_GBK" w:eastAsia="方正黑体_GBK" w:hint="eastAsia"/>
          <w:b/>
          <w:bCs/>
          <w:color w:val="FF0000"/>
          <w:sz w:val="33"/>
          <w:szCs w:val="33"/>
        </w:rPr>
        <w:t>1.2m，</w:t>
      </w:r>
      <w:r>
        <w:rPr>
          <w:rFonts w:ascii="方正仿宋_GBK" w:eastAsia="方正仿宋_GBK" w:hint="eastAsia"/>
          <w:bCs/>
          <w:sz w:val="33"/>
          <w:szCs w:val="33"/>
        </w:rPr>
        <w:t>住宅屋顶绿化覆土深度不小于</w:t>
      </w:r>
      <w:r>
        <w:rPr>
          <w:rFonts w:ascii="方正仿宋_GBK" w:eastAsia="方正仿宋_GBK" w:hint="eastAsia"/>
          <w:bCs/>
          <w:strike/>
          <w:sz w:val="33"/>
          <w:szCs w:val="33"/>
        </w:rPr>
        <w:t>（0.9m）</w:t>
      </w:r>
      <w:r>
        <w:rPr>
          <w:rFonts w:ascii="方正黑体_GBK" w:eastAsia="方正黑体_GBK" w:hint="eastAsia"/>
          <w:b/>
          <w:bCs/>
          <w:color w:val="FF0000"/>
          <w:sz w:val="33"/>
          <w:szCs w:val="33"/>
        </w:rPr>
        <w:t>0.6m。</w:t>
      </w:r>
    </w:p>
    <w:p w:rsidR="009E7F55" w:rsidRDefault="009E7F55" w:rsidP="009E7F55">
      <w:pPr>
        <w:ind w:firstLineChars="200" w:firstLine="660"/>
        <w:rPr>
          <w:rFonts w:ascii="方正仿宋_GBK" w:eastAsia="方正仿宋_GBK" w:hint="eastAsia"/>
          <w:bCs/>
          <w:sz w:val="33"/>
          <w:szCs w:val="33"/>
        </w:rPr>
      </w:pPr>
      <w:r>
        <w:rPr>
          <w:rFonts w:ascii="方正仿宋_GBK" w:eastAsia="方正仿宋_GBK" w:hint="eastAsia"/>
          <w:bCs/>
          <w:sz w:val="33"/>
          <w:szCs w:val="33"/>
        </w:rPr>
        <w:t>十七、</w:t>
      </w:r>
      <w:r>
        <w:rPr>
          <w:rFonts w:ascii="宋体" w:hAnsi="宋体" w:cs="宋体" w:hint="eastAsia"/>
          <w:b/>
          <w:bCs/>
          <w:sz w:val="33"/>
          <w:szCs w:val="33"/>
        </w:rPr>
        <w:t>（</w:t>
      </w:r>
      <w:r>
        <w:rPr>
          <w:rFonts w:ascii="宋体" w:hAnsi="宋体" w:cs="宋体" w:hint="eastAsia"/>
          <w:b/>
          <w:sz w:val="33"/>
          <w:szCs w:val="33"/>
        </w:rPr>
        <w:t>修订</w:t>
      </w:r>
      <w:r>
        <w:rPr>
          <w:rFonts w:ascii="方正楷体简体" w:eastAsia="方正楷体简体"/>
          <w:b/>
          <w:sz w:val="33"/>
          <w:szCs w:val="33"/>
        </w:rPr>
        <w:t>“</w:t>
      </w:r>
      <w:r>
        <w:rPr>
          <w:rFonts w:ascii="宋体" w:hAnsi="宋体" w:cs="宋体" w:hint="eastAsia"/>
          <w:b/>
          <w:sz w:val="33"/>
          <w:szCs w:val="33"/>
        </w:rPr>
        <w:t>技术规定</w:t>
      </w:r>
      <w:r>
        <w:rPr>
          <w:rFonts w:ascii="方正楷体简体" w:eastAsia="方正楷体简体"/>
          <w:b/>
          <w:sz w:val="33"/>
          <w:szCs w:val="33"/>
        </w:rPr>
        <w:t>”</w:t>
      </w:r>
      <w:r>
        <w:rPr>
          <w:rFonts w:ascii="宋体" w:hAnsi="宋体" w:cs="宋体" w:hint="eastAsia"/>
          <w:b/>
          <w:bCs/>
          <w:sz w:val="33"/>
          <w:szCs w:val="33"/>
        </w:rPr>
        <w:t>第七十条）</w:t>
      </w:r>
      <w:r>
        <w:rPr>
          <w:rFonts w:ascii="方正仿宋_GBK" w:eastAsia="方正仿宋_GBK" w:hint="eastAsia"/>
          <w:bCs/>
          <w:sz w:val="33"/>
          <w:szCs w:val="33"/>
        </w:rPr>
        <w:t>新建、改建住宅小区项目须按规范要求同步规划、同步建设社区服务用房，主要用途为老年人日间照料、养老服务、阳光书屋等。社区服务用房为小区业主共同所有，由业主委员会负责管理。其配建标准为：</w:t>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2"/>
        <w:gridCol w:w="4226"/>
        <w:gridCol w:w="1048"/>
      </w:tblGrid>
      <w:tr w:rsidR="009E7F55" w:rsidTr="007366D1">
        <w:trPr>
          <w:jc w:val="center"/>
        </w:trPr>
        <w:tc>
          <w:tcPr>
            <w:tcW w:w="851"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b/>
                <w:sz w:val="28"/>
                <w:szCs w:val="28"/>
              </w:rPr>
            </w:pPr>
            <w:r>
              <w:rPr>
                <w:rFonts w:ascii="方正仿宋_GBK" w:eastAsia="方正仿宋_GBK" w:hint="eastAsia"/>
                <w:b/>
                <w:sz w:val="28"/>
                <w:szCs w:val="28"/>
              </w:rPr>
              <w:t>类别</w:t>
            </w:r>
          </w:p>
        </w:tc>
        <w:tc>
          <w:tcPr>
            <w:tcW w:w="2552"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b/>
                <w:sz w:val="28"/>
                <w:szCs w:val="28"/>
              </w:rPr>
            </w:pPr>
            <w:proofErr w:type="gramStart"/>
            <w:r>
              <w:rPr>
                <w:rFonts w:ascii="方正仿宋_GBK" w:eastAsia="方正仿宋_GBK" w:hint="eastAsia"/>
                <w:b/>
                <w:sz w:val="28"/>
                <w:szCs w:val="28"/>
              </w:rPr>
              <w:t>计容建筑面积</w:t>
            </w:r>
            <w:proofErr w:type="gramEnd"/>
          </w:p>
        </w:tc>
        <w:tc>
          <w:tcPr>
            <w:tcW w:w="4226"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b/>
                <w:sz w:val="28"/>
                <w:szCs w:val="28"/>
              </w:rPr>
            </w:pPr>
            <w:r>
              <w:rPr>
                <w:rFonts w:ascii="方正仿宋_GBK" w:eastAsia="方正仿宋_GBK" w:hint="eastAsia"/>
                <w:b/>
                <w:sz w:val="28"/>
                <w:szCs w:val="28"/>
              </w:rPr>
              <w:t>社区服务用房配建标准</w:t>
            </w:r>
          </w:p>
        </w:tc>
        <w:tc>
          <w:tcPr>
            <w:tcW w:w="1048"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b/>
                <w:sz w:val="28"/>
                <w:szCs w:val="28"/>
              </w:rPr>
            </w:pPr>
            <w:r>
              <w:rPr>
                <w:rFonts w:ascii="方正仿宋_GBK" w:eastAsia="方正仿宋_GBK" w:hint="eastAsia"/>
                <w:b/>
                <w:sz w:val="28"/>
                <w:szCs w:val="28"/>
              </w:rPr>
              <w:t>备注</w:t>
            </w:r>
          </w:p>
        </w:tc>
      </w:tr>
      <w:tr w:rsidR="009E7F55" w:rsidTr="007366D1">
        <w:trPr>
          <w:jc w:val="center"/>
        </w:trPr>
        <w:tc>
          <w:tcPr>
            <w:tcW w:w="851"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sz w:val="28"/>
                <w:szCs w:val="28"/>
              </w:rPr>
            </w:pPr>
            <w:r>
              <w:rPr>
                <w:rFonts w:ascii="方正仿宋_GBK" w:eastAsia="方正仿宋_GBK" w:hint="eastAsia"/>
                <w:sz w:val="28"/>
                <w:szCs w:val="28"/>
              </w:rPr>
              <w:t>一类</w:t>
            </w:r>
          </w:p>
        </w:tc>
        <w:tc>
          <w:tcPr>
            <w:tcW w:w="2552"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sz w:val="28"/>
                <w:szCs w:val="28"/>
              </w:rPr>
            </w:pPr>
            <w:r>
              <w:rPr>
                <w:rFonts w:ascii="方正仿宋_GBK" w:eastAsia="方正仿宋_GBK" w:hint="eastAsia"/>
                <w:sz w:val="28"/>
                <w:szCs w:val="28"/>
              </w:rPr>
              <w:t>30000</w:t>
            </w:r>
            <w:r>
              <w:rPr>
                <w:rFonts w:ascii="方正仿宋_GBK" w:eastAsia="方正仿宋_GBK" w:hint="eastAsia"/>
                <w:bCs/>
                <w:sz w:val="28"/>
                <w:szCs w:val="28"/>
              </w:rPr>
              <w:t>㎡以下</w:t>
            </w:r>
          </w:p>
        </w:tc>
        <w:tc>
          <w:tcPr>
            <w:tcW w:w="4226"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sz w:val="28"/>
                <w:szCs w:val="28"/>
              </w:rPr>
            </w:pPr>
            <w:r>
              <w:rPr>
                <w:rFonts w:ascii="方正仿宋_GBK" w:eastAsia="方正仿宋_GBK" w:hint="eastAsia"/>
                <w:sz w:val="28"/>
                <w:szCs w:val="28"/>
              </w:rPr>
              <w:t>面积不少于150</w:t>
            </w:r>
            <w:r>
              <w:rPr>
                <w:rFonts w:ascii="方正仿宋_GBK" w:eastAsia="方正仿宋_GBK" w:hint="eastAsia"/>
                <w:bCs/>
                <w:sz w:val="28"/>
                <w:szCs w:val="28"/>
              </w:rPr>
              <w:t>㎡</w:t>
            </w:r>
          </w:p>
        </w:tc>
        <w:tc>
          <w:tcPr>
            <w:tcW w:w="1048" w:type="dxa"/>
            <w:tcBorders>
              <w:top w:val="single" w:sz="4" w:space="0" w:color="auto"/>
              <w:left w:val="single" w:sz="4" w:space="0" w:color="auto"/>
              <w:bottom w:val="single" w:sz="4" w:space="0" w:color="auto"/>
              <w:right w:val="single" w:sz="4" w:space="0" w:color="auto"/>
            </w:tcBorders>
          </w:tcPr>
          <w:p w:rsidR="009E7F55" w:rsidRDefault="009E7F55" w:rsidP="007366D1">
            <w:pPr>
              <w:jc w:val="center"/>
              <w:rPr>
                <w:rFonts w:ascii="方正仿宋_GBK" w:eastAsia="方正仿宋_GBK"/>
                <w:sz w:val="28"/>
                <w:szCs w:val="28"/>
              </w:rPr>
            </w:pPr>
          </w:p>
        </w:tc>
      </w:tr>
      <w:tr w:rsidR="009E7F55" w:rsidTr="007366D1">
        <w:trPr>
          <w:jc w:val="center"/>
        </w:trPr>
        <w:tc>
          <w:tcPr>
            <w:tcW w:w="851"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sz w:val="28"/>
                <w:szCs w:val="28"/>
              </w:rPr>
            </w:pPr>
            <w:r>
              <w:rPr>
                <w:rFonts w:ascii="方正仿宋_GBK" w:eastAsia="方正仿宋_GBK" w:hint="eastAsia"/>
                <w:sz w:val="28"/>
                <w:szCs w:val="28"/>
              </w:rPr>
              <w:t>二类</w:t>
            </w:r>
          </w:p>
        </w:tc>
        <w:tc>
          <w:tcPr>
            <w:tcW w:w="2552"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sz w:val="28"/>
                <w:szCs w:val="28"/>
              </w:rPr>
            </w:pPr>
            <w:r>
              <w:rPr>
                <w:rFonts w:ascii="方正仿宋_GBK" w:eastAsia="方正仿宋_GBK" w:hint="eastAsia"/>
                <w:sz w:val="28"/>
                <w:szCs w:val="28"/>
              </w:rPr>
              <w:t>30000—100000</w:t>
            </w:r>
            <w:r>
              <w:rPr>
                <w:rFonts w:ascii="方正仿宋_GBK" w:eastAsia="方正仿宋_GBK" w:hint="eastAsia"/>
                <w:bCs/>
                <w:sz w:val="28"/>
                <w:szCs w:val="28"/>
              </w:rPr>
              <w:t>㎡</w:t>
            </w:r>
          </w:p>
        </w:tc>
        <w:tc>
          <w:tcPr>
            <w:tcW w:w="4226"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sz w:val="28"/>
                <w:szCs w:val="28"/>
              </w:rPr>
            </w:pPr>
            <w:r>
              <w:rPr>
                <w:rFonts w:ascii="方正仿宋_GBK" w:eastAsia="方正仿宋_GBK" w:hint="eastAsia"/>
                <w:sz w:val="28"/>
                <w:szCs w:val="28"/>
              </w:rPr>
              <w:t>面积不少于600</w:t>
            </w:r>
            <w:r>
              <w:rPr>
                <w:rFonts w:ascii="方正仿宋_GBK" w:eastAsia="方正仿宋_GBK" w:hint="eastAsia"/>
                <w:bCs/>
                <w:sz w:val="28"/>
                <w:szCs w:val="28"/>
              </w:rPr>
              <w:t>㎡</w:t>
            </w:r>
          </w:p>
        </w:tc>
        <w:tc>
          <w:tcPr>
            <w:tcW w:w="1048" w:type="dxa"/>
            <w:tcBorders>
              <w:top w:val="single" w:sz="4" w:space="0" w:color="auto"/>
              <w:left w:val="single" w:sz="4" w:space="0" w:color="auto"/>
              <w:bottom w:val="single" w:sz="4" w:space="0" w:color="auto"/>
              <w:right w:val="single" w:sz="4" w:space="0" w:color="auto"/>
            </w:tcBorders>
          </w:tcPr>
          <w:p w:rsidR="009E7F55" w:rsidRDefault="009E7F55" w:rsidP="007366D1">
            <w:pPr>
              <w:jc w:val="center"/>
              <w:rPr>
                <w:rFonts w:ascii="方正仿宋_GBK" w:eastAsia="方正仿宋_GBK"/>
                <w:sz w:val="28"/>
                <w:szCs w:val="28"/>
              </w:rPr>
            </w:pPr>
          </w:p>
        </w:tc>
      </w:tr>
      <w:tr w:rsidR="009E7F55" w:rsidTr="007366D1">
        <w:trPr>
          <w:jc w:val="center"/>
        </w:trPr>
        <w:tc>
          <w:tcPr>
            <w:tcW w:w="851"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sz w:val="28"/>
                <w:szCs w:val="28"/>
              </w:rPr>
            </w:pPr>
            <w:r>
              <w:rPr>
                <w:rFonts w:ascii="方正仿宋_GBK" w:eastAsia="方正仿宋_GBK" w:hint="eastAsia"/>
                <w:sz w:val="28"/>
                <w:szCs w:val="28"/>
              </w:rPr>
              <w:t>三类</w:t>
            </w:r>
          </w:p>
        </w:tc>
        <w:tc>
          <w:tcPr>
            <w:tcW w:w="2552"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sz w:val="28"/>
                <w:szCs w:val="28"/>
              </w:rPr>
            </w:pPr>
            <w:r>
              <w:rPr>
                <w:rFonts w:ascii="方正仿宋_GBK" w:eastAsia="方正仿宋_GBK" w:hint="eastAsia"/>
                <w:sz w:val="28"/>
                <w:szCs w:val="28"/>
              </w:rPr>
              <w:t>100000—200000</w:t>
            </w:r>
            <w:r>
              <w:rPr>
                <w:rFonts w:ascii="方正仿宋_GBK" w:eastAsia="方正仿宋_GBK" w:hint="eastAsia"/>
                <w:bCs/>
                <w:sz w:val="28"/>
                <w:szCs w:val="28"/>
              </w:rPr>
              <w:t>㎡</w:t>
            </w:r>
          </w:p>
        </w:tc>
        <w:tc>
          <w:tcPr>
            <w:tcW w:w="4226"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sz w:val="28"/>
                <w:szCs w:val="28"/>
              </w:rPr>
            </w:pPr>
            <w:r>
              <w:rPr>
                <w:rFonts w:ascii="方正仿宋_GBK" w:eastAsia="方正仿宋_GBK" w:hint="eastAsia"/>
                <w:sz w:val="28"/>
                <w:szCs w:val="28"/>
              </w:rPr>
              <w:t>按</w:t>
            </w:r>
            <w:r>
              <w:rPr>
                <w:rFonts w:ascii="方正仿宋_GBK" w:eastAsia="方正仿宋_GBK" w:hint="eastAsia"/>
                <w:bCs/>
                <w:sz w:val="28"/>
                <w:szCs w:val="28"/>
              </w:rPr>
              <w:t>5‰配建</w:t>
            </w:r>
            <w:proofErr w:type="gramStart"/>
            <w:r>
              <w:rPr>
                <w:rFonts w:ascii="方正仿宋_GBK" w:eastAsia="方正仿宋_GBK" w:hint="eastAsia"/>
                <w:bCs/>
                <w:sz w:val="28"/>
                <w:szCs w:val="28"/>
              </w:rPr>
              <w:t>且面积</w:t>
            </w:r>
            <w:proofErr w:type="gramEnd"/>
            <w:r>
              <w:rPr>
                <w:rFonts w:ascii="方正仿宋_GBK" w:eastAsia="方正仿宋_GBK" w:hint="eastAsia"/>
                <w:bCs/>
                <w:sz w:val="28"/>
                <w:szCs w:val="28"/>
              </w:rPr>
              <w:t>不少于800㎡</w:t>
            </w:r>
          </w:p>
        </w:tc>
        <w:tc>
          <w:tcPr>
            <w:tcW w:w="1048" w:type="dxa"/>
            <w:tcBorders>
              <w:top w:val="single" w:sz="4" w:space="0" w:color="auto"/>
              <w:left w:val="single" w:sz="4" w:space="0" w:color="auto"/>
              <w:bottom w:val="single" w:sz="4" w:space="0" w:color="auto"/>
              <w:right w:val="single" w:sz="4" w:space="0" w:color="auto"/>
            </w:tcBorders>
          </w:tcPr>
          <w:p w:rsidR="009E7F55" w:rsidRDefault="009E7F55" w:rsidP="007366D1">
            <w:pPr>
              <w:jc w:val="center"/>
              <w:rPr>
                <w:rFonts w:ascii="方正仿宋_GBK" w:eastAsia="方正仿宋_GBK"/>
                <w:sz w:val="28"/>
                <w:szCs w:val="28"/>
              </w:rPr>
            </w:pPr>
          </w:p>
        </w:tc>
      </w:tr>
      <w:tr w:rsidR="009E7F55" w:rsidTr="007366D1">
        <w:trPr>
          <w:jc w:val="center"/>
        </w:trPr>
        <w:tc>
          <w:tcPr>
            <w:tcW w:w="851"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sz w:val="28"/>
                <w:szCs w:val="28"/>
              </w:rPr>
            </w:pPr>
            <w:r>
              <w:rPr>
                <w:rFonts w:ascii="方正仿宋_GBK" w:eastAsia="方正仿宋_GBK" w:hint="eastAsia"/>
                <w:sz w:val="28"/>
                <w:szCs w:val="28"/>
              </w:rPr>
              <w:t>四类</w:t>
            </w:r>
          </w:p>
        </w:tc>
        <w:tc>
          <w:tcPr>
            <w:tcW w:w="2552"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sz w:val="28"/>
                <w:szCs w:val="28"/>
              </w:rPr>
            </w:pPr>
            <w:r>
              <w:rPr>
                <w:rFonts w:ascii="方正仿宋_GBK" w:eastAsia="方正仿宋_GBK" w:hint="eastAsia"/>
                <w:sz w:val="28"/>
                <w:szCs w:val="28"/>
              </w:rPr>
              <w:t>200000—300000</w:t>
            </w:r>
            <w:r>
              <w:rPr>
                <w:rFonts w:ascii="方正仿宋_GBK" w:eastAsia="方正仿宋_GBK" w:hint="eastAsia"/>
                <w:bCs/>
                <w:sz w:val="28"/>
                <w:szCs w:val="28"/>
              </w:rPr>
              <w:t>㎡</w:t>
            </w:r>
          </w:p>
        </w:tc>
        <w:tc>
          <w:tcPr>
            <w:tcW w:w="4226"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sz w:val="28"/>
                <w:szCs w:val="28"/>
              </w:rPr>
            </w:pPr>
            <w:r>
              <w:rPr>
                <w:rFonts w:ascii="方正仿宋_GBK" w:eastAsia="方正仿宋_GBK" w:hint="eastAsia"/>
                <w:sz w:val="28"/>
                <w:szCs w:val="28"/>
              </w:rPr>
              <w:t>按</w:t>
            </w:r>
            <w:r>
              <w:rPr>
                <w:rFonts w:ascii="方正仿宋_GBK" w:eastAsia="方正仿宋_GBK" w:hint="eastAsia"/>
                <w:bCs/>
                <w:sz w:val="28"/>
                <w:szCs w:val="28"/>
              </w:rPr>
              <w:t>4‰配建</w:t>
            </w:r>
            <w:proofErr w:type="gramStart"/>
            <w:r>
              <w:rPr>
                <w:rFonts w:ascii="方正仿宋_GBK" w:eastAsia="方正仿宋_GBK" w:hint="eastAsia"/>
                <w:bCs/>
                <w:sz w:val="28"/>
                <w:szCs w:val="28"/>
              </w:rPr>
              <w:t>且面积</w:t>
            </w:r>
            <w:proofErr w:type="gramEnd"/>
            <w:r>
              <w:rPr>
                <w:rFonts w:ascii="方正仿宋_GBK" w:eastAsia="方正仿宋_GBK" w:hint="eastAsia"/>
                <w:bCs/>
                <w:sz w:val="28"/>
                <w:szCs w:val="28"/>
              </w:rPr>
              <w:t>不少于1000㎡</w:t>
            </w:r>
          </w:p>
        </w:tc>
        <w:tc>
          <w:tcPr>
            <w:tcW w:w="1048" w:type="dxa"/>
            <w:tcBorders>
              <w:top w:val="single" w:sz="4" w:space="0" w:color="auto"/>
              <w:left w:val="single" w:sz="4" w:space="0" w:color="auto"/>
              <w:bottom w:val="single" w:sz="4" w:space="0" w:color="auto"/>
              <w:right w:val="single" w:sz="4" w:space="0" w:color="auto"/>
            </w:tcBorders>
          </w:tcPr>
          <w:p w:rsidR="009E7F55" w:rsidRDefault="009E7F55" w:rsidP="007366D1">
            <w:pPr>
              <w:jc w:val="center"/>
              <w:rPr>
                <w:rFonts w:ascii="方正仿宋_GBK" w:eastAsia="方正仿宋_GBK"/>
                <w:sz w:val="28"/>
                <w:szCs w:val="28"/>
              </w:rPr>
            </w:pPr>
          </w:p>
        </w:tc>
      </w:tr>
      <w:tr w:rsidR="009E7F55" w:rsidTr="007366D1">
        <w:trPr>
          <w:jc w:val="center"/>
        </w:trPr>
        <w:tc>
          <w:tcPr>
            <w:tcW w:w="851"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sz w:val="28"/>
                <w:szCs w:val="28"/>
              </w:rPr>
            </w:pPr>
            <w:r>
              <w:rPr>
                <w:rFonts w:ascii="方正仿宋_GBK" w:eastAsia="方正仿宋_GBK" w:hint="eastAsia"/>
                <w:sz w:val="28"/>
                <w:szCs w:val="28"/>
              </w:rPr>
              <w:lastRenderedPageBreak/>
              <w:t>五类</w:t>
            </w:r>
          </w:p>
        </w:tc>
        <w:tc>
          <w:tcPr>
            <w:tcW w:w="2552"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sz w:val="28"/>
                <w:szCs w:val="28"/>
              </w:rPr>
            </w:pPr>
            <w:r>
              <w:rPr>
                <w:rFonts w:ascii="方正仿宋_GBK" w:eastAsia="方正仿宋_GBK" w:hint="eastAsia"/>
                <w:sz w:val="28"/>
                <w:szCs w:val="28"/>
              </w:rPr>
              <w:t>300000</w:t>
            </w:r>
            <w:r>
              <w:rPr>
                <w:rFonts w:ascii="方正仿宋_GBK" w:eastAsia="方正仿宋_GBK" w:hint="eastAsia"/>
                <w:bCs/>
                <w:sz w:val="28"/>
                <w:szCs w:val="28"/>
              </w:rPr>
              <w:t>㎡及以上</w:t>
            </w:r>
          </w:p>
        </w:tc>
        <w:tc>
          <w:tcPr>
            <w:tcW w:w="4226" w:type="dxa"/>
            <w:tcBorders>
              <w:top w:val="single" w:sz="4" w:space="0" w:color="auto"/>
              <w:left w:val="single" w:sz="4" w:space="0" w:color="auto"/>
              <w:bottom w:val="single" w:sz="4" w:space="0" w:color="auto"/>
              <w:right w:val="single" w:sz="4" w:space="0" w:color="auto"/>
            </w:tcBorders>
            <w:hideMark/>
          </w:tcPr>
          <w:p w:rsidR="009E7F55" w:rsidRDefault="009E7F55" w:rsidP="007366D1">
            <w:pPr>
              <w:jc w:val="center"/>
              <w:rPr>
                <w:rFonts w:ascii="方正仿宋_GBK" w:eastAsia="方正仿宋_GBK"/>
                <w:sz w:val="28"/>
                <w:szCs w:val="28"/>
              </w:rPr>
            </w:pPr>
            <w:r>
              <w:rPr>
                <w:rFonts w:ascii="方正仿宋_GBK" w:eastAsia="方正仿宋_GBK" w:hint="eastAsia"/>
                <w:sz w:val="28"/>
                <w:szCs w:val="28"/>
              </w:rPr>
              <w:t>按</w:t>
            </w:r>
            <w:r>
              <w:rPr>
                <w:rFonts w:ascii="方正仿宋_GBK" w:eastAsia="方正仿宋_GBK" w:hint="eastAsia"/>
                <w:bCs/>
                <w:sz w:val="28"/>
                <w:szCs w:val="28"/>
              </w:rPr>
              <w:t>3‰配建</w:t>
            </w:r>
            <w:proofErr w:type="gramStart"/>
            <w:r>
              <w:rPr>
                <w:rFonts w:ascii="方正仿宋_GBK" w:eastAsia="方正仿宋_GBK" w:hint="eastAsia"/>
                <w:bCs/>
                <w:sz w:val="28"/>
                <w:szCs w:val="28"/>
              </w:rPr>
              <w:t>且面积</w:t>
            </w:r>
            <w:proofErr w:type="gramEnd"/>
            <w:r>
              <w:rPr>
                <w:rFonts w:ascii="方正仿宋_GBK" w:eastAsia="方正仿宋_GBK" w:hint="eastAsia"/>
                <w:bCs/>
                <w:sz w:val="28"/>
                <w:szCs w:val="28"/>
              </w:rPr>
              <w:t>不少于1200㎡</w:t>
            </w:r>
          </w:p>
        </w:tc>
        <w:tc>
          <w:tcPr>
            <w:tcW w:w="1048" w:type="dxa"/>
            <w:tcBorders>
              <w:top w:val="single" w:sz="4" w:space="0" w:color="auto"/>
              <w:left w:val="single" w:sz="4" w:space="0" w:color="auto"/>
              <w:bottom w:val="single" w:sz="4" w:space="0" w:color="auto"/>
              <w:right w:val="single" w:sz="4" w:space="0" w:color="auto"/>
            </w:tcBorders>
          </w:tcPr>
          <w:p w:rsidR="009E7F55" w:rsidRDefault="009E7F55" w:rsidP="007366D1">
            <w:pPr>
              <w:jc w:val="center"/>
              <w:rPr>
                <w:rFonts w:ascii="方正仿宋_GBK" w:eastAsia="方正仿宋_GBK"/>
                <w:sz w:val="28"/>
                <w:szCs w:val="28"/>
              </w:rPr>
            </w:pPr>
          </w:p>
        </w:tc>
      </w:tr>
    </w:tbl>
    <w:p w:rsidR="009E7F55" w:rsidRDefault="009E7F55" w:rsidP="009E7F55">
      <w:pPr>
        <w:ind w:firstLineChars="200" w:firstLine="660"/>
        <w:rPr>
          <w:rFonts w:ascii="方正仿宋_GBK" w:eastAsia="方正仿宋_GBK" w:hint="eastAsia"/>
          <w:bCs/>
          <w:sz w:val="33"/>
          <w:szCs w:val="33"/>
        </w:rPr>
      </w:pPr>
      <w:r>
        <w:rPr>
          <w:rFonts w:ascii="方正仿宋_GBK" w:eastAsia="方正仿宋_GBK" w:hint="eastAsia"/>
          <w:bCs/>
          <w:sz w:val="33"/>
          <w:szCs w:val="33"/>
        </w:rPr>
        <w:t>十八、</w:t>
      </w:r>
      <w:r>
        <w:rPr>
          <w:rFonts w:ascii="宋体" w:hAnsi="宋体" w:cs="宋体" w:hint="eastAsia"/>
          <w:b/>
          <w:bCs/>
          <w:sz w:val="33"/>
          <w:szCs w:val="33"/>
        </w:rPr>
        <w:t>（</w:t>
      </w:r>
      <w:r>
        <w:rPr>
          <w:rFonts w:ascii="宋体" w:hAnsi="宋体" w:cs="宋体" w:hint="eastAsia"/>
          <w:b/>
          <w:sz w:val="33"/>
          <w:szCs w:val="33"/>
        </w:rPr>
        <w:t>修订</w:t>
      </w:r>
      <w:r>
        <w:rPr>
          <w:rFonts w:ascii="方正楷体简体" w:eastAsia="方正楷体简体"/>
          <w:b/>
          <w:sz w:val="33"/>
          <w:szCs w:val="33"/>
        </w:rPr>
        <w:t>“</w:t>
      </w:r>
      <w:r>
        <w:rPr>
          <w:rFonts w:ascii="宋体" w:hAnsi="宋体" w:cs="宋体" w:hint="eastAsia"/>
          <w:b/>
          <w:sz w:val="33"/>
          <w:szCs w:val="33"/>
        </w:rPr>
        <w:t>技术规定</w:t>
      </w:r>
      <w:r>
        <w:rPr>
          <w:rFonts w:ascii="方正楷体简体" w:eastAsia="方正楷体简体"/>
          <w:b/>
          <w:sz w:val="33"/>
          <w:szCs w:val="33"/>
        </w:rPr>
        <w:t>”</w:t>
      </w:r>
      <w:r>
        <w:rPr>
          <w:rFonts w:ascii="宋体" w:hAnsi="宋体" w:cs="宋体" w:hint="eastAsia"/>
          <w:b/>
          <w:bCs/>
          <w:sz w:val="33"/>
          <w:szCs w:val="33"/>
        </w:rPr>
        <w:t>第七十二条）</w:t>
      </w:r>
      <w:r>
        <w:rPr>
          <w:rFonts w:ascii="方正仿宋_GBK" w:eastAsia="方正仿宋_GBK" w:hint="eastAsia"/>
          <w:bCs/>
          <w:sz w:val="33"/>
          <w:szCs w:val="33"/>
        </w:rPr>
        <w:t>新建住宅小区居住人口5000人及以上的，</w:t>
      </w:r>
      <w:proofErr w:type="gramStart"/>
      <w:r>
        <w:rPr>
          <w:rFonts w:ascii="方正仿宋_GBK" w:eastAsia="方正仿宋_GBK" w:hint="eastAsia"/>
          <w:bCs/>
          <w:sz w:val="33"/>
          <w:szCs w:val="33"/>
        </w:rPr>
        <w:t>宜独立</w:t>
      </w:r>
      <w:proofErr w:type="gramEnd"/>
      <w:r>
        <w:rPr>
          <w:rFonts w:ascii="方正仿宋_GBK" w:eastAsia="方正仿宋_GBK" w:hint="eastAsia"/>
          <w:bCs/>
          <w:sz w:val="33"/>
          <w:szCs w:val="33"/>
        </w:rPr>
        <w:t>占地配建幼儿园，配建标准按《城市居住区规划设计标准GB50180—2018》执行，并根据小区居住人口和周边配建等实际情况确定幼儿园办</w:t>
      </w:r>
      <w:proofErr w:type="gramStart"/>
      <w:r>
        <w:rPr>
          <w:rFonts w:ascii="方正仿宋_GBK" w:eastAsia="方正仿宋_GBK" w:hint="eastAsia"/>
          <w:bCs/>
          <w:sz w:val="33"/>
          <w:szCs w:val="33"/>
        </w:rPr>
        <w:t>园规</w:t>
      </w:r>
      <w:proofErr w:type="gramEnd"/>
      <w:r>
        <w:rPr>
          <w:rFonts w:ascii="方正仿宋_GBK" w:eastAsia="方正仿宋_GBK" w:hint="eastAsia"/>
          <w:bCs/>
          <w:sz w:val="33"/>
          <w:szCs w:val="33"/>
        </w:rPr>
        <w:t>模和班次。明确为公办幼儿园或委托办成普惠性民办幼儿园的，其建筑面积不计入容积率。</w:t>
      </w:r>
    </w:p>
    <w:p w:rsidR="009E7F55" w:rsidRDefault="009E7F55" w:rsidP="009E7F55">
      <w:pPr>
        <w:ind w:firstLineChars="200" w:firstLine="660"/>
        <w:rPr>
          <w:rFonts w:ascii="方正仿宋_GBK" w:eastAsia="方正仿宋_GBK" w:hint="eastAsia"/>
          <w:bCs/>
          <w:sz w:val="33"/>
          <w:szCs w:val="33"/>
        </w:rPr>
      </w:pPr>
      <w:r>
        <w:rPr>
          <w:rFonts w:ascii="方正仿宋_GBK" w:eastAsia="方正仿宋_GBK" w:hint="eastAsia"/>
          <w:bCs/>
          <w:sz w:val="33"/>
          <w:szCs w:val="33"/>
        </w:rPr>
        <w:t>十九、</w:t>
      </w:r>
      <w:r>
        <w:rPr>
          <w:rFonts w:ascii="宋体" w:hAnsi="宋体" w:cs="宋体" w:hint="eastAsia"/>
          <w:b/>
          <w:bCs/>
          <w:sz w:val="33"/>
          <w:szCs w:val="33"/>
        </w:rPr>
        <w:t>（修订</w:t>
      </w:r>
      <w:r>
        <w:rPr>
          <w:rFonts w:ascii="方正楷体简体" w:eastAsia="方正楷体简体"/>
          <w:b/>
          <w:bCs/>
          <w:sz w:val="33"/>
          <w:szCs w:val="33"/>
        </w:rPr>
        <w:t>“</w:t>
      </w:r>
      <w:r>
        <w:rPr>
          <w:rFonts w:ascii="宋体" w:hAnsi="宋体" w:cs="宋体" w:hint="eastAsia"/>
          <w:b/>
          <w:bCs/>
          <w:sz w:val="33"/>
          <w:szCs w:val="33"/>
        </w:rPr>
        <w:t>技术规定</w:t>
      </w:r>
      <w:r>
        <w:rPr>
          <w:rFonts w:ascii="方正楷体简体" w:eastAsia="方正楷体简体"/>
          <w:b/>
          <w:bCs/>
          <w:sz w:val="33"/>
          <w:szCs w:val="33"/>
        </w:rPr>
        <w:t>”</w:t>
      </w:r>
      <w:r>
        <w:rPr>
          <w:rFonts w:ascii="宋体" w:hAnsi="宋体" w:cs="宋体" w:hint="eastAsia"/>
          <w:b/>
          <w:bCs/>
          <w:sz w:val="33"/>
          <w:szCs w:val="33"/>
        </w:rPr>
        <w:t>第七十六条）</w:t>
      </w:r>
      <w:r>
        <w:rPr>
          <w:rFonts w:ascii="方正仿宋_GBK" w:eastAsia="方正仿宋_GBK" w:hint="eastAsia"/>
          <w:bCs/>
          <w:sz w:val="33"/>
          <w:szCs w:val="33"/>
        </w:rPr>
        <w:t>新建商住项目应根据所在区域实际情况科学配建机动车停车位，商品住房每100㎡</w:t>
      </w:r>
      <w:proofErr w:type="gramStart"/>
      <w:r>
        <w:rPr>
          <w:rFonts w:ascii="方正仿宋_GBK" w:eastAsia="方正仿宋_GBK" w:hint="eastAsia"/>
          <w:bCs/>
          <w:sz w:val="33"/>
          <w:szCs w:val="33"/>
        </w:rPr>
        <w:t>计容建筑面积</w:t>
      </w:r>
      <w:proofErr w:type="gramEnd"/>
      <w:r>
        <w:rPr>
          <w:rFonts w:ascii="方正仿宋_GBK" w:eastAsia="方正仿宋_GBK" w:hint="eastAsia"/>
          <w:bCs/>
          <w:sz w:val="33"/>
          <w:szCs w:val="33"/>
        </w:rPr>
        <w:t>配建不少</w:t>
      </w:r>
      <w:r>
        <w:rPr>
          <w:rFonts w:ascii="方正仿宋_GBK" w:eastAsia="方正仿宋_GBK" w:hint="eastAsia"/>
          <w:bCs/>
          <w:color w:val="FF0000"/>
          <w:sz w:val="33"/>
          <w:szCs w:val="33"/>
        </w:rPr>
        <w:t>于0.6个或户均不少于1个地下停车位</w:t>
      </w:r>
      <w:r>
        <w:rPr>
          <w:rFonts w:ascii="方正仿宋_GBK" w:eastAsia="方正仿宋_GBK" w:hint="eastAsia"/>
          <w:bCs/>
          <w:sz w:val="33"/>
          <w:szCs w:val="33"/>
        </w:rPr>
        <w:t>。</w:t>
      </w:r>
    </w:p>
    <w:p w:rsidR="009E7F55" w:rsidRDefault="009E7F55" w:rsidP="009E7F55">
      <w:pPr>
        <w:ind w:firstLineChars="200" w:firstLine="660"/>
        <w:rPr>
          <w:rFonts w:ascii="方正仿宋_GBK" w:eastAsia="方正仿宋_GBK" w:hint="eastAsia"/>
          <w:bCs/>
          <w:sz w:val="33"/>
          <w:szCs w:val="33"/>
        </w:rPr>
      </w:pPr>
      <w:r>
        <w:rPr>
          <w:rFonts w:ascii="方正仿宋_GBK" w:eastAsia="方正仿宋_GBK" w:hint="eastAsia"/>
          <w:bCs/>
          <w:sz w:val="33"/>
          <w:szCs w:val="33"/>
        </w:rPr>
        <w:t>二十、</w:t>
      </w:r>
      <w:r>
        <w:rPr>
          <w:rFonts w:ascii="宋体" w:hAnsi="宋体" w:cs="宋体" w:hint="eastAsia"/>
          <w:b/>
          <w:bCs/>
          <w:sz w:val="33"/>
          <w:szCs w:val="33"/>
        </w:rPr>
        <w:t>（修订</w:t>
      </w:r>
      <w:r>
        <w:rPr>
          <w:rFonts w:ascii="方正楷体简体" w:eastAsia="方正楷体简体"/>
          <w:b/>
          <w:bCs/>
          <w:sz w:val="33"/>
          <w:szCs w:val="33"/>
        </w:rPr>
        <w:t>“</w:t>
      </w:r>
      <w:r>
        <w:rPr>
          <w:rFonts w:ascii="宋体" w:hAnsi="宋体" w:cs="宋体" w:hint="eastAsia"/>
          <w:b/>
          <w:bCs/>
          <w:sz w:val="33"/>
          <w:szCs w:val="33"/>
        </w:rPr>
        <w:t>技术规定</w:t>
      </w:r>
      <w:r>
        <w:rPr>
          <w:rFonts w:ascii="方正楷体简体" w:eastAsia="方正楷体简体"/>
          <w:b/>
          <w:bCs/>
          <w:sz w:val="33"/>
          <w:szCs w:val="33"/>
        </w:rPr>
        <w:t>”</w:t>
      </w:r>
      <w:r>
        <w:rPr>
          <w:rFonts w:ascii="宋体" w:hAnsi="宋体" w:cs="宋体" w:hint="eastAsia"/>
          <w:b/>
          <w:bCs/>
          <w:sz w:val="33"/>
          <w:szCs w:val="33"/>
        </w:rPr>
        <w:t>第八十九条）</w:t>
      </w:r>
      <w:r>
        <w:rPr>
          <w:rFonts w:ascii="方正仿宋_GBK" w:eastAsia="方正仿宋_GBK" w:hint="eastAsia"/>
          <w:bCs/>
          <w:sz w:val="33"/>
          <w:szCs w:val="33"/>
        </w:rPr>
        <w:t>城市规划区内居住用地绿地率不宜低于</w:t>
      </w:r>
      <w:r>
        <w:rPr>
          <w:rFonts w:ascii="方正仿宋_GBK" w:eastAsia="方正仿宋_GBK" w:hint="eastAsia"/>
          <w:bCs/>
          <w:strike/>
          <w:sz w:val="33"/>
          <w:szCs w:val="33"/>
        </w:rPr>
        <w:t>（一类40%、二类38%）</w:t>
      </w:r>
      <w:r>
        <w:rPr>
          <w:rFonts w:ascii="方正黑体_GBK" w:eastAsia="方正黑体_GBK" w:hint="eastAsia"/>
          <w:b/>
          <w:bCs/>
          <w:color w:val="FF0000"/>
          <w:sz w:val="33"/>
          <w:szCs w:val="33"/>
        </w:rPr>
        <w:t>35%，</w:t>
      </w:r>
      <w:r>
        <w:rPr>
          <w:rFonts w:ascii="方正仿宋_GBK" w:eastAsia="方正仿宋_GBK" w:hint="eastAsia"/>
          <w:bCs/>
          <w:sz w:val="33"/>
          <w:szCs w:val="33"/>
        </w:rPr>
        <w:t>旧城改造区内二类居住用地的绿地率不宜低于25%。</w:t>
      </w:r>
    </w:p>
    <w:p w:rsidR="009E7F55" w:rsidRDefault="009E7F55" w:rsidP="009E7F55">
      <w:pPr>
        <w:ind w:firstLineChars="200" w:firstLine="660"/>
        <w:rPr>
          <w:rFonts w:ascii="方正仿宋_GBK" w:eastAsia="方正仿宋_GBK" w:hint="eastAsia"/>
          <w:bCs/>
          <w:sz w:val="33"/>
          <w:szCs w:val="33"/>
        </w:rPr>
      </w:pPr>
      <w:r>
        <w:rPr>
          <w:rFonts w:ascii="方正仿宋_GBK" w:eastAsia="方正仿宋_GBK" w:hint="eastAsia"/>
          <w:bCs/>
          <w:sz w:val="33"/>
          <w:szCs w:val="33"/>
        </w:rPr>
        <w:t>二十一、</w:t>
      </w:r>
      <w:r>
        <w:rPr>
          <w:rFonts w:ascii="宋体" w:hAnsi="宋体" w:cs="宋体" w:hint="eastAsia"/>
          <w:b/>
          <w:bCs/>
          <w:sz w:val="33"/>
          <w:szCs w:val="33"/>
        </w:rPr>
        <w:t>（修订</w:t>
      </w:r>
      <w:r>
        <w:rPr>
          <w:rFonts w:ascii="方正楷体简体" w:eastAsia="方正楷体简体"/>
          <w:b/>
          <w:bCs/>
          <w:sz w:val="33"/>
          <w:szCs w:val="33"/>
        </w:rPr>
        <w:t>“</w:t>
      </w:r>
      <w:r>
        <w:rPr>
          <w:rFonts w:ascii="宋体" w:hAnsi="宋体" w:cs="宋体" w:hint="eastAsia"/>
          <w:b/>
          <w:bCs/>
          <w:sz w:val="33"/>
          <w:szCs w:val="33"/>
        </w:rPr>
        <w:t>技术规定</w:t>
      </w:r>
      <w:r>
        <w:rPr>
          <w:rFonts w:ascii="方正楷体简体" w:eastAsia="方正楷体简体"/>
          <w:b/>
          <w:bCs/>
          <w:sz w:val="33"/>
          <w:szCs w:val="33"/>
        </w:rPr>
        <w:t>”</w:t>
      </w:r>
      <w:r>
        <w:rPr>
          <w:rFonts w:ascii="宋体" w:hAnsi="宋体" w:cs="宋体" w:hint="eastAsia"/>
          <w:b/>
          <w:bCs/>
          <w:sz w:val="33"/>
          <w:szCs w:val="33"/>
        </w:rPr>
        <w:t>第九十四条）</w:t>
      </w:r>
      <w:r>
        <w:rPr>
          <w:rFonts w:ascii="方正仿宋_GBK" w:eastAsia="方正仿宋_GBK" w:hint="eastAsia"/>
          <w:bCs/>
          <w:sz w:val="33"/>
          <w:szCs w:val="33"/>
        </w:rPr>
        <w:t>居住人数超过</w:t>
      </w:r>
      <w:r>
        <w:rPr>
          <w:rFonts w:ascii="方正仿宋_GBK" w:eastAsia="方正仿宋_GBK" w:hint="eastAsia"/>
          <w:bCs/>
          <w:strike/>
          <w:sz w:val="33"/>
          <w:szCs w:val="33"/>
        </w:rPr>
        <w:t>（10000人）</w:t>
      </w:r>
      <w:r>
        <w:rPr>
          <w:rFonts w:ascii="方正黑体_GBK" w:eastAsia="方正黑体_GBK" w:hint="eastAsia"/>
          <w:b/>
          <w:bCs/>
          <w:color w:val="C00000"/>
          <w:sz w:val="33"/>
          <w:szCs w:val="33"/>
        </w:rPr>
        <w:t>12000人</w:t>
      </w:r>
      <w:r>
        <w:rPr>
          <w:rFonts w:ascii="方正仿宋_GBK" w:eastAsia="方正仿宋_GBK" w:hint="eastAsia"/>
          <w:bCs/>
          <w:sz w:val="33"/>
          <w:szCs w:val="33"/>
        </w:rPr>
        <w:t>的住宅小区应设置两个及以上对公众开放且与城市道路相连接的公共厕所，且单个建筑面积不宜小于50㎡；</w:t>
      </w:r>
      <w:r>
        <w:rPr>
          <w:rFonts w:ascii="方正仿宋_GBK" w:eastAsia="方正仿宋_GBK" w:hint="eastAsia"/>
          <w:bCs/>
          <w:strike/>
          <w:sz w:val="33"/>
          <w:szCs w:val="33"/>
        </w:rPr>
        <w:t>（10000人以下、3000人以上）</w:t>
      </w:r>
      <w:r>
        <w:rPr>
          <w:rFonts w:ascii="方正黑体_GBK" w:eastAsia="方正黑体_GBK" w:hint="eastAsia"/>
          <w:b/>
          <w:bCs/>
          <w:color w:val="C00000"/>
          <w:sz w:val="33"/>
          <w:szCs w:val="33"/>
        </w:rPr>
        <w:t>12000人以下、5000人以</w:t>
      </w:r>
      <w:r>
        <w:rPr>
          <w:rFonts w:ascii="方正仿宋_GBK" w:eastAsia="方正仿宋_GBK" w:hint="eastAsia"/>
          <w:bCs/>
          <w:sz w:val="33"/>
          <w:szCs w:val="33"/>
        </w:rPr>
        <w:t>上的住宅小区应至少设置一个对内的公共厕所，且建筑面积不宜小于60㎡；</w:t>
      </w:r>
      <w:r>
        <w:rPr>
          <w:rFonts w:ascii="方正仿宋_GBK" w:eastAsia="方正仿宋_GBK" w:hint="eastAsia"/>
          <w:bCs/>
          <w:strike/>
          <w:sz w:val="33"/>
          <w:szCs w:val="33"/>
        </w:rPr>
        <w:t>（3000人以下）</w:t>
      </w:r>
      <w:r>
        <w:rPr>
          <w:rFonts w:ascii="方正黑体_GBK" w:eastAsia="方正黑体_GBK" w:hint="eastAsia"/>
          <w:b/>
          <w:bCs/>
          <w:color w:val="C00000"/>
          <w:sz w:val="33"/>
          <w:szCs w:val="33"/>
        </w:rPr>
        <w:t>5000人</w:t>
      </w:r>
      <w:r>
        <w:rPr>
          <w:rFonts w:ascii="方正仿宋_GBK" w:eastAsia="方正仿宋_GBK" w:hint="eastAsia"/>
          <w:bCs/>
          <w:sz w:val="33"/>
          <w:szCs w:val="33"/>
        </w:rPr>
        <w:t>以下的住宅小区应结合周边居住人口、公共厕所实际配建等情况确定。</w:t>
      </w:r>
    </w:p>
    <w:p w:rsidR="009E7F55" w:rsidRDefault="009E7F55" w:rsidP="009E7F55">
      <w:pPr>
        <w:ind w:firstLineChars="200" w:firstLine="660"/>
        <w:rPr>
          <w:rFonts w:ascii="方正仿宋_GBK" w:eastAsia="方正仿宋_GBK" w:hint="eastAsia"/>
          <w:bCs/>
          <w:sz w:val="33"/>
          <w:szCs w:val="33"/>
        </w:rPr>
      </w:pPr>
      <w:r>
        <w:rPr>
          <w:rFonts w:ascii="方正仿宋_GBK" w:eastAsia="方正仿宋_GBK" w:hint="eastAsia"/>
          <w:bCs/>
          <w:sz w:val="33"/>
          <w:szCs w:val="33"/>
        </w:rPr>
        <w:lastRenderedPageBreak/>
        <w:t>本通知自印发之日起实施。本通知与“技术规定”不一致的，按本通知执行。本通知执行期间，国家法律法规或行业规范、标准等另有规定的，从其规定。</w:t>
      </w:r>
    </w:p>
    <w:p w:rsidR="009E7F55" w:rsidRDefault="009E7F55" w:rsidP="009E7F55">
      <w:pPr>
        <w:ind w:firstLineChars="200" w:firstLine="660"/>
        <w:rPr>
          <w:rFonts w:ascii="方正仿宋_GBK" w:eastAsia="方正仿宋_GBK" w:hint="eastAsia"/>
          <w:bCs/>
          <w:sz w:val="33"/>
          <w:szCs w:val="33"/>
        </w:rPr>
      </w:pPr>
      <w:r>
        <w:rPr>
          <w:rFonts w:ascii="方正仿宋_GBK" w:eastAsia="方正仿宋_GBK" w:hint="eastAsia"/>
          <w:bCs/>
          <w:sz w:val="33"/>
          <w:szCs w:val="33"/>
        </w:rPr>
        <w:t>特此通知。</w:t>
      </w:r>
    </w:p>
    <w:p w:rsidR="009E7F55" w:rsidRDefault="009E7F55" w:rsidP="009E7F55">
      <w:pPr>
        <w:ind w:firstLineChars="200" w:firstLine="660"/>
        <w:rPr>
          <w:rFonts w:ascii="方正仿宋_GBK" w:eastAsia="方正仿宋_GBK" w:hint="eastAsia"/>
          <w:bCs/>
          <w:sz w:val="33"/>
          <w:szCs w:val="33"/>
        </w:rPr>
      </w:pPr>
    </w:p>
    <w:p w:rsidR="009E7F55" w:rsidRDefault="009E7F55" w:rsidP="009E7F55">
      <w:pPr>
        <w:ind w:firstLineChars="1300" w:firstLine="4290"/>
        <w:rPr>
          <w:rFonts w:ascii="方正仿宋_GBK" w:eastAsia="方正仿宋_GBK" w:hint="eastAsia"/>
          <w:bCs/>
          <w:sz w:val="33"/>
          <w:szCs w:val="33"/>
        </w:rPr>
      </w:pPr>
      <w:r>
        <w:rPr>
          <w:rFonts w:ascii="方正仿宋_GBK" w:eastAsia="方正仿宋_GBK" w:hint="eastAsia"/>
          <w:bCs/>
          <w:sz w:val="33"/>
          <w:szCs w:val="33"/>
        </w:rPr>
        <w:t>2024年5月XX日</w:t>
      </w:r>
      <w:r>
        <w:rPr>
          <w:rStyle w:val="textctab4"/>
          <w:rFonts w:hint="eastAsia"/>
          <w:vanish/>
          <w:color w:val="333333"/>
          <w:sz w:val="17"/>
          <w:szCs w:val="17"/>
        </w:rPr>
        <w:t>对于建筑物内的</w:t>
      </w:r>
      <w:hyperlink r:id="rId7" w:history="1">
        <w:r>
          <w:rPr>
            <w:rStyle w:val="a5"/>
            <w:rFonts w:hint="eastAsia"/>
            <w:vanish/>
            <w:color w:val="136EC2"/>
            <w:sz w:val="17"/>
            <w:szCs w:val="17"/>
          </w:rPr>
          <w:t>设备层</w:t>
        </w:r>
      </w:hyperlink>
      <w:r>
        <w:rPr>
          <w:rStyle w:val="textctab4"/>
          <w:rFonts w:hint="eastAsia"/>
          <w:vanish/>
          <w:color w:val="333333"/>
          <w:sz w:val="17"/>
          <w:szCs w:val="17"/>
        </w:rPr>
        <w:t>、管道层、</w:t>
      </w:r>
      <w:hyperlink r:id="rId8" w:history="1">
        <w:r>
          <w:rPr>
            <w:rStyle w:val="a5"/>
            <w:rFonts w:hint="eastAsia"/>
            <w:vanish/>
            <w:color w:val="136EC2"/>
            <w:sz w:val="17"/>
            <w:szCs w:val="17"/>
          </w:rPr>
          <w:t>避难层</w:t>
        </w:r>
      </w:hyperlink>
      <w:r>
        <w:rPr>
          <w:rStyle w:val="textctab4"/>
          <w:rFonts w:hint="eastAsia"/>
          <w:vanish/>
          <w:color w:val="333333"/>
          <w:sz w:val="17"/>
          <w:szCs w:val="17"/>
        </w:rPr>
        <w:t>等有结构层的楼层，结构层高在</w:t>
      </w:r>
      <w:r>
        <w:rPr>
          <w:rStyle w:val="textctab4"/>
          <w:vanish/>
          <w:color w:val="333333"/>
          <w:sz w:val="17"/>
          <w:szCs w:val="17"/>
        </w:rPr>
        <w:t>2.20m</w:t>
      </w:r>
      <w:r>
        <w:rPr>
          <w:rStyle w:val="textctab4"/>
          <w:rFonts w:hint="eastAsia"/>
          <w:vanish/>
          <w:color w:val="333333"/>
          <w:sz w:val="17"/>
          <w:szCs w:val="17"/>
        </w:rPr>
        <w:t>及以上的，应计算全面积；结构层高在</w:t>
      </w:r>
      <w:r>
        <w:rPr>
          <w:rStyle w:val="textctab4"/>
          <w:vanish/>
          <w:color w:val="333333"/>
          <w:sz w:val="17"/>
          <w:szCs w:val="17"/>
        </w:rPr>
        <w:t>2.20m</w:t>
      </w:r>
      <w:r>
        <w:rPr>
          <w:rStyle w:val="textctab4"/>
          <w:rFonts w:hint="eastAsia"/>
          <w:vanish/>
          <w:color w:val="333333"/>
          <w:sz w:val="17"/>
          <w:szCs w:val="17"/>
        </w:rPr>
        <w:t>以下的，应计算</w:t>
      </w:r>
      <w:r>
        <w:rPr>
          <w:rStyle w:val="textctab4"/>
          <w:vanish/>
          <w:color w:val="333333"/>
          <w:sz w:val="17"/>
          <w:szCs w:val="17"/>
        </w:rPr>
        <w:t>1/2</w:t>
      </w:r>
      <w:r>
        <w:rPr>
          <w:rStyle w:val="textctab4"/>
          <w:rFonts w:hint="eastAsia"/>
          <w:vanish/>
          <w:color w:val="333333"/>
          <w:sz w:val="17"/>
          <w:szCs w:val="17"/>
        </w:rPr>
        <w:t>面积。对于建筑物内的</w:t>
      </w:r>
      <w:hyperlink r:id="rId9" w:history="1">
        <w:r>
          <w:rPr>
            <w:rStyle w:val="a5"/>
            <w:rFonts w:hint="eastAsia"/>
            <w:vanish/>
            <w:color w:val="136EC2"/>
            <w:sz w:val="17"/>
            <w:szCs w:val="17"/>
          </w:rPr>
          <w:t>设备层</w:t>
        </w:r>
      </w:hyperlink>
      <w:r>
        <w:rPr>
          <w:rStyle w:val="textctab4"/>
          <w:rFonts w:hint="eastAsia"/>
          <w:vanish/>
          <w:color w:val="333333"/>
          <w:sz w:val="17"/>
          <w:szCs w:val="17"/>
        </w:rPr>
        <w:t>、管道层、</w:t>
      </w:r>
      <w:hyperlink r:id="rId10" w:history="1">
        <w:r>
          <w:rPr>
            <w:rStyle w:val="a5"/>
            <w:rFonts w:hint="eastAsia"/>
            <w:vanish/>
            <w:color w:val="136EC2"/>
            <w:sz w:val="17"/>
            <w:szCs w:val="17"/>
          </w:rPr>
          <w:t>避难层</w:t>
        </w:r>
      </w:hyperlink>
      <w:r>
        <w:rPr>
          <w:rStyle w:val="textctab4"/>
          <w:rFonts w:hint="eastAsia"/>
          <w:vanish/>
          <w:color w:val="333333"/>
          <w:sz w:val="17"/>
          <w:szCs w:val="17"/>
        </w:rPr>
        <w:t>等有结构层的楼层，结构层高在</w:t>
      </w:r>
      <w:r>
        <w:rPr>
          <w:rStyle w:val="textctab4"/>
          <w:vanish/>
          <w:color w:val="333333"/>
          <w:sz w:val="17"/>
          <w:szCs w:val="17"/>
        </w:rPr>
        <w:t>2.20m</w:t>
      </w:r>
      <w:r>
        <w:rPr>
          <w:rStyle w:val="textctab4"/>
          <w:rFonts w:hint="eastAsia"/>
          <w:vanish/>
          <w:color w:val="333333"/>
          <w:sz w:val="17"/>
          <w:szCs w:val="17"/>
        </w:rPr>
        <w:t>及以上的，应计算全面积；结构层高在</w:t>
      </w:r>
      <w:r>
        <w:rPr>
          <w:rStyle w:val="textctab4"/>
          <w:vanish/>
          <w:color w:val="333333"/>
          <w:sz w:val="17"/>
          <w:szCs w:val="17"/>
        </w:rPr>
        <w:t>2.20m</w:t>
      </w:r>
      <w:r>
        <w:rPr>
          <w:rStyle w:val="textctab4"/>
          <w:rFonts w:hint="eastAsia"/>
          <w:vanish/>
          <w:color w:val="333333"/>
          <w:sz w:val="17"/>
          <w:szCs w:val="17"/>
        </w:rPr>
        <w:t>以下的，应计算</w:t>
      </w:r>
      <w:r>
        <w:rPr>
          <w:rStyle w:val="textctab4"/>
          <w:vanish/>
          <w:color w:val="333333"/>
          <w:sz w:val="17"/>
          <w:szCs w:val="17"/>
        </w:rPr>
        <w:t>1/2</w:t>
      </w:r>
      <w:r>
        <w:rPr>
          <w:rStyle w:val="textctab4"/>
          <w:rFonts w:hint="eastAsia"/>
          <w:vanish/>
          <w:color w:val="333333"/>
          <w:sz w:val="17"/>
          <w:szCs w:val="17"/>
        </w:rPr>
        <w:t>面积。</w:t>
      </w:r>
    </w:p>
    <w:p w:rsidR="009E7F55" w:rsidRDefault="009E7F55" w:rsidP="009E7F55">
      <w:pPr>
        <w:rPr>
          <w:rFonts w:hint="eastAsia"/>
          <w:szCs w:val="20"/>
        </w:rPr>
      </w:pPr>
    </w:p>
    <w:p w:rsidR="009E7F55" w:rsidRDefault="009E7F55" w:rsidP="009E7F55"/>
    <w:p w:rsidR="009E7F55" w:rsidRPr="000B4EA7" w:rsidRDefault="009E7F55" w:rsidP="009E7F55"/>
    <w:p w:rsidR="00FF4E4E" w:rsidRPr="009E7F55" w:rsidRDefault="00FF4E4E"/>
    <w:sectPr w:rsidR="00FF4E4E" w:rsidRPr="009E7F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33" w:rsidRDefault="00C43033" w:rsidP="009E7F55">
      <w:r>
        <w:separator/>
      </w:r>
    </w:p>
  </w:endnote>
  <w:endnote w:type="continuationSeparator" w:id="0">
    <w:p w:rsidR="00C43033" w:rsidRDefault="00C43033" w:rsidP="009E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楷体简体">
    <w:altName w:val="Times New Roman"/>
    <w:charset w:val="00"/>
    <w:family w:val="auto"/>
    <w:pitch w:val="variable"/>
  </w:font>
  <w:font w:name="方正小标宋_GBK">
    <w:altName w:val="Arial Unicode MS"/>
    <w:charset w:val="86"/>
    <w:family w:val="script"/>
    <w:pitch w:val="variable"/>
    <w:sig w:usb0="00000000" w:usb1="38CF7CFA" w:usb2="00082016" w:usb3="00000000" w:csb0="00040001" w:csb1="00000000"/>
  </w:font>
  <w:font w:name="方正仿宋_GBK">
    <w:altName w:val="Arial Unicode MS"/>
    <w:charset w:val="86"/>
    <w:family w:val="script"/>
    <w:pitch w:val="variable"/>
    <w:sig w:usb0="00000000" w:usb1="38CF7CFA" w:usb2="00082016" w:usb3="00000000" w:csb0="00040001" w:csb1="00000000"/>
  </w:font>
  <w:font w:name="方正黑体_GBK">
    <w:altName w:val="Arial Unicode MS"/>
    <w:charset w:val="86"/>
    <w:family w:val="script"/>
    <w:pitch w:val="variable"/>
    <w:sig w:usb0="00000000" w:usb1="38CF7CFA"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33" w:rsidRDefault="00C43033" w:rsidP="009E7F55">
      <w:r>
        <w:separator/>
      </w:r>
    </w:p>
  </w:footnote>
  <w:footnote w:type="continuationSeparator" w:id="0">
    <w:p w:rsidR="00C43033" w:rsidRDefault="00C43033" w:rsidP="009E7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02"/>
    <w:rsid w:val="000150AD"/>
    <w:rsid w:val="00036B87"/>
    <w:rsid w:val="00044BE2"/>
    <w:rsid w:val="00056D6A"/>
    <w:rsid w:val="00062D69"/>
    <w:rsid w:val="000D4967"/>
    <w:rsid w:val="000E056B"/>
    <w:rsid w:val="001057F9"/>
    <w:rsid w:val="00180E9A"/>
    <w:rsid w:val="00197772"/>
    <w:rsid w:val="001B53A5"/>
    <w:rsid w:val="00216A4E"/>
    <w:rsid w:val="002449B4"/>
    <w:rsid w:val="002720FC"/>
    <w:rsid w:val="002F5E18"/>
    <w:rsid w:val="002F7EA5"/>
    <w:rsid w:val="00300157"/>
    <w:rsid w:val="00335E23"/>
    <w:rsid w:val="00342685"/>
    <w:rsid w:val="00347C5D"/>
    <w:rsid w:val="003525C5"/>
    <w:rsid w:val="00381632"/>
    <w:rsid w:val="00383CE0"/>
    <w:rsid w:val="0039652D"/>
    <w:rsid w:val="003A7CEA"/>
    <w:rsid w:val="003C0D5C"/>
    <w:rsid w:val="003C23B8"/>
    <w:rsid w:val="003E19C8"/>
    <w:rsid w:val="00412E93"/>
    <w:rsid w:val="0043544A"/>
    <w:rsid w:val="0047011B"/>
    <w:rsid w:val="0049187E"/>
    <w:rsid w:val="004A1F10"/>
    <w:rsid w:val="004D0DE3"/>
    <w:rsid w:val="005420AF"/>
    <w:rsid w:val="00586095"/>
    <w:rsid w:val="005B637F"/>
    <w:rsid w:val="005D0D27"/>
    <w:rsid w:val="006013ED"/>
    <w:rsid w:val="006604FD"/>
    <w:rsid w:val="0068085B"/>
    <w:rsid w:val="006917BF"/>
    <w:rsid w:val="006A4BB4"/>
    <w:rsid w:val="006D5FC4"/>
    <w:rsid w:val="006D750D"/>
    <w:rsid w:val="006F1A70"/>
    <w:rsid w:val="006F2970"/>
    <w:rsid w:val="00711F78"/>
    <w:rsid w:val="00720349"/>
    <w:rsid w:val="0076540E"/>
    <w:rsid w:val="007B4521"/>
    <w:rsid w:val="007C2915"/>
    <w:rsid w:val="007D1316"/>
    <w:rsid w:val="007D3A11"/>
    <w:rsid w:val="00820C88"/>
    <w:rsid w:val="00824123"/>
    <w:rsid w:val="00847C40"/>
    <w:rsid w:val="008520C3"/>
    <w:rsid w:val="00873646"/>
    <w:rsid w:val="008938AD"/>
    <w:rsid w:val="008A0105"/>
    <w:rsid w:val="008A0B2D"/>
    <w:rsid w:val="008D7099"/>
    <w:rsid w:val="00906EC7"/>
    <w:rsid w:val="00910F33"/>
    <w:rsid w:val="009329DC"/>
    <w:rsid w:val="00944DA1"/>
    <w:rsid w:val="00963D5B"/>
    <w:rsid w:val="00990F35"/>
    <w:rsid w:val="009B58F3"/>
    <w:rsid w:val="009C2701"/>
    <w:rsid w:val="009E7F55"/>
    <w:rsid w:val="009F223F"/>
    <w:rsid w:val="00A33831"/>
    <w:rsid w:val="00A34B0C"/>
    <w:rsid w:val="00A5216D"/>
    <w:rsid w:val="00A55424"/>
    <w:rsid w:val="00A74F19"/>
    <w:rsid w:val="00A91661"/>
    <w:rsid w:val="00AB6E59"/>
    <w:rsid w:val="00AB758D"/>
    <w:rsid w:val="00B039B3"/>
    <w:rsid w:val="00B131BB"/>
    <w:rsid w:val="00B248FD"/>
    <w:rsid w:val="00B36528"/>
    <w:rsid w:val="00B8115E"/>
    <w:rsid w:val="00B812DD"/>
    <w:rsid w:val="00B82E02"/>
    <w:rsid w:val="00BA4D97"/>
    <w:rsid w:val="00BF025E"/>
    <w:rsid w:val="00BF2B1E"/>
    <w:rsid w:val="00C36F07"/>
    <w:rsid w:val="00C43033"/>
    <w:rsid w:val="00CB3D31"/>
    <w:rsid w:val="00CE6E04"/>
    <w:rsid w:val="00CF170D"/>
    <w:rsid w:val="00D32BFF"/>
    <w:rsid w:val="00D33B0B"/>
    <w:rsid w:val="00D741E4"/>
    <w:rsid w:val="00D9026E"/>
    <w:rsid w:val="00D9768D"/>
    <w:rsid w:val="00DB2575"/>
    <w:rsid w:val="00DB51B4"/>
    <w:rsid w:val="00DC11D4"/>
    <w:rsid w:val="00DF6E0B"/>
    <w:rsid w:val="00F10F43"/>
    <w:rsid w:val="00F30625"/>
    <w:rsid w:val="00F3110B"/>
    <w:rsid w:val="00F32406"/>
    <w:rsid w:val="00F42E4E"/>
    <w:rsid w:val="00F57545"/>
    <w:rsid w:val="00F95756"/>
    <w:rsid w:val="00FF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5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7F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7F55"/>
    <w:rPr>
      <w:sz w:val="18"/>
      <w:szCs w:val="18"/>
    </w:rPr>
  </w:style>
  <w:style w:type="paragraph" w:styleId="a4">
    <w:name w:val="footer"/>
    <w:basedOn w:val="a"/>
    <w:link w:val="Char0"/>
    <w:uiPriority w:val="99"/>
    <w:unhideWhenUsed/>
    <w:rsid w:val="009E7F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7F55"/>
    <w:rPr>
      <w:sz w:val="18"/>
      <w:szCs w:val="18"/>
    </w:rPr>
  </w:style>
  <w:style w:type="character" w:customStyle="1" w:styleId="textctab4">
    <w:name w:val="text_ctab4"/>
    <w:rsid w:val="009E7F55"/>
  </w:style>
  <w:style w:type="character" w:styleId="a5">
    <w:name w:val="Hyperlink"/>
    <w:basedOn w:val="a0"/>
    <w:uiPriority w:val="99"/>
    <w:semiHidden/>
    <w:unhideWhenUsed/>
    <w:rsid w:val="009E7F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5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7F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7F55"/>
    <w:rPr>
      <w:sz w:val="18"/>
      <w:szCs w:val="18"/>
    </w:rPr>
  </w:style>
  <w:style w:type="paragraph" w:styleId="a4">
    <w:name w:val="footer"/>
    <w:basedOn w:val="a"/>
    <w:link w:val="Char0"/>
    <w:uiPriority w:val="99"/>
    <w:unhideWhenUsed/>
    <w:rsid w:val="009E7F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7F55"/>
    <w:rPr>
      <w:sz w:val="18"/>
      <w:szCs w:val="18"/>
    </w:rPr>
  </w:style>
  <w:style w:type="character" w:customStyle="1" w:styleId="textctab4">
    <w:name w:val="text_ctab4"/>
    <w:rsid w:val="009E7F55"/>
  </w:style>
  <w:style w:type="character" w:styleId="a5">
    <w:name w:val="Hyperlink"/>
    <w:basedOn w:val="a0"/>
    <w:uiPriority w:val="99"/>
    <w:semiHidden/>
    <w:unhideWhenUsed/>
    <w:rsid w:val="009E7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36991;&#38590;&#23618;/2383489?fromModule=lemma_inlink" TargetMode="External"/><Relationship Id="rId3" Type="http://schemas.openxmlformats.org/officeDocument/2006/relationships/settings" Target="settings.xml"/><Relationship Id="rId7" Type="http://schemas.openxmlformats.org/officeDocument/2006/relationships/hyperlink" Target="https://baike.baidu.com/item/&#35774;&#22791;&#23618;/8983070?fromModule=lemma_inlin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aike.baidu.com/item/&#36991;&#38590;&#23618;/2383489?fromModule=lemma_inlink" TargetMode="External"/><Relationship Id="rId4" Type="http://schemas.openxmlformats.org/officeDocument/2006/relationships/webSettings" Target="webSettings.xml"/><Relationship Id="rId9" Type="http://schemas.openxmlformats.org/officeDocument/2006/relationships/hyperlink" Target="https://baike.baidu.com/item/&#35774;&#22791;&#23618;/8983070?fromModule=lemma_in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办公室:潘俊鳞</dc:creator>
  <cp:keywords/>
  <dc:description/>
  <cp:lastModifiedBy>办公室:潘俊鳞</cp:lastModifiedBy>
  <cp:revision>2</cp:revision>
  <dcterms:created xsi:type="dcterms:W3CDTF">2024-03-20T03:36:00Z</dcterms:created>
  <dcterms:modified xsi:type="dcterms:W3CDTF">2024-03-20T03:36:00Z</dcterms:modified>
</cp:coreProperties>
</file>