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700" w:lineRule="exact"/>
        <w:jc w:val="center"/>
        <w:rPr>
          <w:rFonts w:hint="default" w:ascii="Times New Roman" w:hAnsi="Times New Roman" w:eastAsia="方正小标宋_GBK" w:cs="Times New Roman"/>
          <w:sz w:val="50"/>
          <w:szCs w:val="50"/>
        </w:rPr>
      </w:pPr>
      <w:r>
        <w:rPr>
          <w:rFonts w:hint="default" w:ascii="Times New Roman" w:hAnsi="Times New Roman" w:eastAsia="方正小标宋_GBK" w:cs="Times New Roman"/>
          <w:sz w:val="50"/>
          <w:szCs w:val="50"/>
        </w:rPr>
        <w:t>巴中市自然资源和规划局巴州分局</w:t>
      </w:r>
    </w:p>
    <w:p>
      <w:pPr>
        <w:spacing w:beforeLines="0" w:afterLines="0" w:line="700" w:lineRule="exact"/>
        <w:jc w:val="center"/>
        <w:rPr>
          <w:rFonts w:hint="default" w:ascii="Times New Roman" w:hAnsi="Times New Roman" w:eastAsia="方正小标宋_GBK" w:cs="Times New Roman"/>
          <w:sz w:val="50"/>
          <w:szCs w:val="50"/>
        </w:rPr>
      </w:pPr>
      <w:r>
        <w:rPr>
          <w:rFonts w:hint="default" w:ascii="Times New Roman" w:hAnsi="Times New Roman" w:eastAsia="方正小标宋_GBK" w:cs="Times New Roman"/>
          <w:sz w:val="50"/>
          <w:szCs w:val="50"/>
        </w:rPr>
        <w:t>关于巴州区征收农用地区片综合地价修订工作</w:t>
      </w:r>
    </w:p>
    <w:p>
      <w:pPr>
        <w:spacing w:beforeLines="0" w:afterLines="0" w:line="700" w:lineRule="exact"/>
        <w:jc w:val="center"/>
        <w:rPr>
          <w:rFonts w:hint="default" w:ascii="Times New Roman" w:hAnsi="Times New Roman" w:eastAsia="方正小标宋_GBK" w:cs="Times New Roman"/>
          <w:sz w:val="50"/>
          <w:szCs w:val="50"/>
        </w:rPr>
      </w:pPr>
      <w:r>
        <w:rPr>
          <w:rFonts w:hint="default" w:ascii="Times New Roman" w:hAnsi="Times New Roman" w:eastAsia="方正小标宋_GBK" w:cs="Times New Roman"/>
          <w:sz w:val="50"/>
          <w:szCs w:val="50"/>
        </w:rPr>
        <w:t>社会稳定风险评估的公示</w:t>
      </w:r>
    </w:p>
    <w:p>
      <w:pPr>
        <w:rPr>
          <w:rFonts w:ascii="Times New Roman" w:hAnsi="Times New Roman" w:cs="Times New Roman"/>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为充分</w:t>
      </w:r>
      <w:r>
        <w:rPr>
          <w:rFonts w:hint="eastAsia" w:ascii="Times New Roman" w:hAnsi="Times New Roman" w:eastAsia="方正仿宋_GBK" w:cs="Times New Roman"/>
          <w:sz w:val="32"/>
          <w:szCs w:val="32"/>
          <w:lang w:eastAsia="zh-CN"/>
        </w:rPr>
        <w:t>征求</w:t>
      </w:r>
      <w:r>
        <w:rPr>
          <w:rFonts w:hint="default" w:ascii="Times New Roman" w:hAnsi="Times New Roman" w:eastAsia="方正仿宋_GBK" w:cs="Times New Roman"/>
          <w:sz w:val="32"/>
          <w:szCs w:val="32"/>
        </w:rPr>
        <w:t>社会各界对巴州区征收农用地区片综合地价修订工作的意见和建议，做好</w:t>
      </w:r>
      <w:r>
        <w:rPr>
          <w:rFonts w:hint="eastAsia" w:ascii="Times New Roman" w:hAnsi="Times New Roman" w:eastAsia="方正仿宋_GBK" w:cs="Times New Roman"/>
          <w:sz w:val="32"/>
          <w:szCs w:val="32"/>
          <w:lang w:eastAsia="zh-CN"/>
        </w:rPr>
        <w:t>巴州区征收农用地综合地价修订</w:t>
      </w:r>
      <w:r>
        <w:rPr>
          <w:rFonts w:hint="eastAsia" w:ascii="Times New Roman" w:hAnsi="Times New Roman" w:eastAsia="方正仿宋_GBK" w:cs="Times New Roman"/>
          <w:sz w:val="32"/>
          <w:szCs w:val="32"/>
          <w:lang w:val="en-US" w:eastAsia="zh-CN"/>
        </w:rPr>
        <w:t>2个</w:t>
      </w:r>
      <w:r>
        <w:rPr>
          <w:rFonts w:hint="default" w:ascii="Times New Roman" w:hAnsi="Times New Roman" w:eastAsia="方正仿宋_GBK" w:cs="Times New Roman"/>
          <w:sz w:val="32"/>
          <w:szCs w:val="32"/>
        </w:rPr>
        <w:t>社会稳定风险评估工作，根据《四川省自然资源厅关于开展征地区片综合地价修订工作的通知》（川自然资函〔2022〕243号）、《四川省自然资源厅办公室关于印发〈四川省征收农用地区片综合地价修订技术方案（2022年版）〉的通知》（川自然资办函〔2022〕122号）及《四川省社会稳定风险评估办法》（四川省人民政府令〔2016〕313号）等文件要求，现将该事项基本情况进行公示，并征询公众意见。</w:t>
      </w:r>
    </w:p>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一、事项简介</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土地管理法》第四十八条“制定区片综合地价应当综合考虑土地原用途、土地资源条件、土地产值、土地区位、土地供求关系、人口以及经济社会发展水平等因素，并至少每三年调整或者重新公布一次”规定，巴州区上轮区片综合地价由省政府批复同意，由巴中市巴州区人民政府于2020年10月20日公布，于2020年1月1日起实施。为</w:t>
      </w:r>
      <w:r>
        <w:rPr>
          <w:rFonts w:hint="eastAsia" w:ascii="Times New Roman" w:hAnsi="Times New Roman" w:eastAsia="方正仿宋_GBK" w:cs="Times New Roman"/>
          <w:sz w:val="32"/>
          <w:szCs w:val="32"/>
          <w:lang w:eastAsia="zh-CN"/>
        </w:rPr>
        <w:t>确保</w:t>
      </w:r>
      <w:r>
        <w:rPr>
          <w:rFonts w:hint="default" w:ascii="Times New Roman" w:hAnsi="Times New Roman" w:eastAsia="方正仿宋_GBK" w:cs="Times New Roman"/>
          <w:sz w:val="32"/>
          <w:szCs w:val="32"/>
        </w:rPr>
        <w:t>巴州区区片综合地价</w:t>
      </w:r>
      <w:r>
        <w:rPr>
          <w:rFonts w:hint="eastAsia" w:ascii="Times New Roman" w:hAnsi="Times New Roman" w:eastAsia="方正仿宋_GBK" w:cs="Times New Roman"/>
          <w:sz w:val="32"/>
          <w:szCs w:val="32"/>
          <w:lang w:eastAsia="zh-CN"/>
        </w:rPr>
        <w:t>科学、合理</w:t>
      </w:r>
      <w:bookmarkStart w:id="0" w:name="_GoBack"/>
      <w:bookmarkEnd w:id="0"/>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维护被征地农民的切身利益，按照川自然资函〔2022〕243号、川自然资办函〔2022〕122号要求，结合巴州区社会经济发展的实际情况，对巴州区征地区片综合地价进行修订。相关测算成果如下：</w:t>
      </w:r>
    </w:p>
    <w:p>
      <w:pPr>
        <w:spacing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巴州区征收农用地区片综合地价修订结果表</w:t>
      </w:r>
    </w:p>
    <w:tbl>
      <w:tblPr>
        <w:tblStyle w:val="5"/>
        <w:tblW w:w="13413" w:type="dxa"/>
        <w:tblInd w:w="0" w:type="dxa"/>
        <w:tblLayout w:type="fixed"/>
        <w:tblCellMar>
          <w:top w:w="0" w:type="dxa"/>
          <w:left w:w="108" w:type="dxa"/>
          <w:bottom w:w="0" w:type="dxa"/>
          <w:right w:w="108" w:type="dxa"/>
        </w:tblCellMar>
      </w:tblPr>
      <w:tblGrid>
        <w:gridCol w:w="1096"/>
        <w:gridCol w:w="2048"/>
        <w:gridCol w:w="1095"/>
        <w:gridCol w:w="1327"/>
        <w:gridCol w:w="1095"/>
        <w:gridCol w:w="5497"/>
        <w:gridCol w:w="1255"/>
      </w:tblGrid>
      <w:tr>
        <w:tblPrEx>
          <w:tblLayout w:type="fixed"/>
          <w:tblCellMar>
            <w:top w:w="0" w:type="dxa"/>
            <w:left w:w="108" w:type="dxa"/>
            <w:bottom w:w="0" w:type="dxa"/>
            <w:right w:w="108" w:type="dxa"/>
          </w:tblCellMar>
        </w:tblPrEx>
        <w:trPr>
          <w:trHeight w:val="439" w:hRule="atLeast"/>
          <w:tblHeader/>
        </w:trPr>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楷体_GBK" w:cs="Times New Roman"/>
                <w:b/>
                <w:bCs/>
                <w:sz w:val="22"/>
                <w:szCs w:val="24"/>
              </w:rPr>
            </w:pPr>
            <w:r>
              <w:rPr>
                <w:rFonts w:hint="default" w:ascii="Times New Roman" w:hAnsi="Times New Roman" w:eastAsia="方正楷体_GBK" w:cs="Times New Roman"/>
                <w:b/>
                <w:bCs/>
                <w:sz w:val="22"/>
                <w:szCs w:val="24"/>
              </w:rPr>
              <w:t>序号</w:t>
            </w:r>
          </w:p>
        </w:tc>
        <w:tc>
          <w:tcPr>
            <w:tcW w:w="204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楷体_GBK" w:cs="Times New Roman"/>
                <w:b/>
                <w:bCs/>
                <w:sz w:val="22"/>
                <w:szCs w:val="24"/>
              </w:rPr>
            </w:pPr>
            <w:r>
              <w:rPr>
                <w:rFonts w:hint="default" w:ascii="Times New Roman" w:hAnsi="Times New Roman" w:eastAsia="方正楷体_GBK" w:cs="Times New Roman"/>
                <w:b/>
                <w:bCs/>
                <w:sz w:val="22"/>
                <w:szCs w:val="24"/>
              </w:rPr>
              <w:t>区片编号</w:t>
            </w:r>
          </w:p>
        </w:tc>
        <w:tc>
          <w:tcPr>
            <w:tcW w:w="109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楷体_GBK" w:cs="Times New Roman"/>
                <w:b/>
                <w:bCs/>
                <w:sz w:val="22"/>
                <w:szCs w:val="24"/>
              </w:rPr>
            </w:pPr>
            <w:r>
              <w:rPr>
                <w:rFonts w:hint="default" w:ascii="Times New Roman" w:hAnsi="Times New Roman" w:eastAsia="方正楷体_GBK" w:cs="Times New Roman"/>
                <w:b/>
                <w:bCs/>
                <w:sz w:val="22"/>
                <w:szCs w:val="24"/>
              </w:rPr>
              <w:t>区片价档次</w:t>
            </w:r>
          </w:p>
        </w:tc>
        <w:tc>
          <w:tcPr>
            <w:tcW w:w="132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楷体_GBK" w:cs="Times New Roman"/>
                <w:b/>
                <w:bCs/>
                <w:sz w:val="22"/>
                <w:szCs w:val="24"/>
              </w:rPr>
            </w:pPr>
            <w:r>
              <w:rPr>
                <w:rFonts w:hint="default" w:ascii="Times New Roman" w:hAnsi="Times New Roman" w:eastAsia="方正楷体_GBK" w:cs="Times New Roman"/>
                <w:b/>
                <w:bCs/>
                <w:sz w:val="22"/>
                <w:szCs w:val="24"/>
              </w:rPr>
              <w:t>区片综合地价（元/亩）</w:t>
            </w:r>
          </w:p>
        </w:tc>
        <w:tc>
          <w:tcPr>
            <w:tcW w:w="65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楷体_GBK" w:cs="Times New Roman"/>
                <w:b/>
                <w:bCs/>
                <w:sz w:val="22"/>
                <w:szCs w:val="24"/>
              </w:rPr>
            </w:pPr>
            <w:r>
              <w:rPr>
                <w:rFonts w:hint="default" w:ascii="Times New Roman" w:hAnsi="Times New Roman" w:eastAsia="方正楷体_GBK" w:cs="Times New Roman"/>
                <w:b/>
                <w:bCs/>
                <w:sz w:val="22"/>
                <w:szCs w:val="24"/>
              </w:rPr>
              <w:t>区片范围描述</w:t>
            </w:r>
          </w:p>
        </w:tc>
        <w:tc>
          <w:tcPr>
            <w:tcW w:w="125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bCs/>
              </w:rPr>
            </w:pPr>
            <w:r>
              <w:rPr>
                <w:rFonts w:hint="default" w:ascii="Times New Roman" w:hAnsi="Times New Roman" w:eastAsia="方正楷体_GBK" w:cs="Times New Roman"/>
                <w:b/>
                <w:bCs/>
                <w:sz w:val="22"/>
                <w:szCs w:val="24"/>
              </w:rPr>
              <w:t>备注</w:t>
            </w:r>
          </w:p>
        </w:tc>
      </w:tr>
      <w:tr>
        <w:tblPrEx>
          <w:tblLayout w:type="fixed"/>
          <w:tblCellMar>
            <w:top w:w="0" w:type="dxa"/>
            <w:left w:w="108" w:type="dxa"/>
            <w:bottom w:w="0" w:type="dxa"/>
            <w:right w:w="108" w:type="dxa"/>
          </w:tblCellMar>
        </w:tblPrEx>
        <w:trPr>
          <w:trHeight w:val="90" w:hRule="atLeast"/>
          <w:tblHead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楷体_GBK" w:cs="Times New Roman"/>
                <w:b/>
                <w:bCs/>
                <w:sz w:val="22"/>
                <w:szCs w:val="24"/>
              </w:rPr>
            </w:pPr>
          </w:p>
        </w:tc>
        <w:tc>
          <w:tcPr>
            <w:tcW w:w="20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楷体_GBK" w:cs="Times New Roman"/>
                <w:b/>
                <w:bCs/>
                <w:sz w:val="22"/>
                <w:szCs w:val="24"/>
              </w:rPr>
            </w:pPr>
          </w:p>
        </w:tc>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楷体_GBK" w:cs="Times New Roman"/>
                <w:b/>
                <w:bCs/>
                <w:sz w:val="22"/>
                <w:szCs w:val="24"/>
              </w:rPr>
            </w:pPr>
          </w:p>
        </w:tc>
        <w:tc>
          <w:tcPr>
            <w:tcW w:w="13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楷体_GBK" w:cs="Times New Roman"/>
                <w:b/>
                <w:bCs/>
                <w:sz w:val="22"/>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楷体_GBK" w:cs="Times New Roman"/>
                <w:b/>
                <w:bCs/>
                <w:sz w:val="22"/>
                <w:szCs w:val="24"/>
              </w:rPr>
            </w:pPr>
            <w:r>
              <w:rPr>
                <w:rFonts w:hint="default" w:ascii="Times New Roman" w:hAnsi="Times New Roman" w:eastAsia="方正楷体_GBK" w:cs="Times New Roman"/>
                <w:b/>
                <w:bCs/>
                <w:sz w:val="22"/>
                <w:szCs w:val="24"/>
              </w:rPr>
              <w:t>乡镇（街道名称）</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楷体_GBK" w:cs="Times New Roman"/>
                <w:b/>
                <w:bCs/>
                <w:sz w:val="22"/>
                <w:szCs w:val="24"/>
              </w:rPr>
            </w:pPr>
            <w:r>
              <w:rPr>
                <w:rFonts w:hint="default" w:ascii="Times New Roman" w:hAnsi="Times New Roman" w:eastAsia="方正楷体_GBK" w:cs="Times New Roman"/>
                <w:b/>
                <w:bCs/>
                <w:sz w:val="22"/>
                <w:szCs w:val="24"/>
              </w:rPr>
              <w:t>村（社区）名称</w:t>
            </w:r>
          </w:p>
        </w:tc>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51190220230001</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Ⅰ</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57500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回风街道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回风亭社区、津桥湖社区、龙舌坝社区、龙湖园社区、大佛寺村、大溪口村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2</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51190220230002</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Ⅰ</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57500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江北街道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江北台社区、状元桥社区、白云台社区、佛江社区、龙泉社区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3</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51190220230003</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Ⅰ</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57500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宕梁街道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红岩社区、后河社区、杨坝社区、中坝社区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51190220230004</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Ⅰ</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57500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东城街道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大东社区、鼓楼社区、北门社区、观音井社区、南门社区、古井子社区、南坝社区、老观桥社区、太子社区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51190220230005</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Ⅰ</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57500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时新街道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白塔社区、插旗山社区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6</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51190220230006</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Ⅰ</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57500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西城街道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白马井社区、云屏社区、草坝社区、南龛社区、红福社区、佛阳社区、柳津桥社区、后坝社区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7</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51190220230007</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Ⅰ</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57500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玉堂街道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新桥社区、北龛社区、摇铃村、尖山寺村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8</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51190220230008</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回风街道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陇桥社区、新华社区、西华村、仙人洞社区、盘兴村、三凤村、白鹤山村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9</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51190220230009</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江北街道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李家扁村、岳家坡村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10</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51190220230010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宕梁街道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塔子山村、凉水井村、碾盘寺村、清莲村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11</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51190220230011</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东城街道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擂鼓社区、柏杨社区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72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12</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51190220230012</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时新街道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西锦社区、沙溪社区、双井社区、石笋堂社区、园柏社区、宝峰社区、双桥河社区、西溪社区、东华村、排垭社区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13</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51190220230013</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西城街道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西龛社区、莲山湖社区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72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14</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51190220230014</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兴文街道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东锦社区、文丛社区、兴新社区、中山社区、牛角社区、五谷社区、关公社区、中营村、红花村、九寨村、观音桥村、文村坝社区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15</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51190220230015</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光辉镇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虎家梁村、许家岭村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16</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51190220230016</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奇章街道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奇章社区、石燕社区、郑家山村、八角位村、楼台村、元堡社区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17</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51190220230017</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玉堂街道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天星湖社区、苏山村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18</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51190220230018</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清江镇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海生社区、腊红社区、柏林村、塘坝村、杏垭村、昆山村、峰垭村、巾字村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19</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51190220230019</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水宁寺镇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始宁社区、龙台村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20</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51190220230020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化成镇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化湖社区、赵家湾村、蟒螳坝村、白庙村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21</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51190220230021</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曾口镇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曾溪社区、方山寨社区、朝阳社区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22</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51190220230022</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梁永镇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莲花社区、梁广村、斑竹村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23</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51190220230023</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三江镇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三江口社区、民主村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24</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51190220230024</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枣林镇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渔江社区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25</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51190220230025</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平梁镇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凤凰社区、凤谷村、白岩村、炮台村、莲花山村、枣儿塘村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26</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51190220230026</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光辉镇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柏林湾村、哨台村、石庙社区、白羊坝村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27</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51190220230027</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III</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46000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大茅坪镇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明星社区、红垭村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28</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51190220230028</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江北街道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牛鼻山村、凤头山村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72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29</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51190220230029</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玉堂街道</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登高社区、玉堂村、铜堡村、侯家沟村、管家沟村、桥炉村、印山坪村、方山雁村、何家坪村、古楼山村、柏垭庙村、寨子包村、印和社区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72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30</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51190220230030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清江镇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中岭坪社区、黄包村、石柱村、大排村、龙潭河村、蔡家湾村、九湾村、永兴社区、洛伽村、长滩河村、八家坪村、水井村、灵江桥村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72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31</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51190220230031</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水宁寺镇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印盒村、天宫村、枇杷村、金银坎村、香炉村、三皇村、水宁村、宏达社区、花溪村、走马村、土门村、大坝村、明山村、火烽村、新庙村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72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32</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51190220230032</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化成镇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金光社区、赵家营村、邵家坪村、宋家碥村、吴家河村、水观音村、长潭河村、高家坡村、梁大湾村梓橦庙社区、道子坪村、奎星楼村、陈家嘴村、三儿河村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144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33</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51190220230033</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曾口镇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甘泉井村、扬帆村、椿树村、秧田沟村、寿星村、雁桥村、书台村、桔林村、石龙村、中和村、康村村、芦山社区、新民村、吉公村、红溪村、太和村、永红村、杏花村、龙城寨村、大柏树村、宝珠村、凉风垭村、佛龙村、金凤村、复兴社区、繁荣村、黄垭村、土主村、鹤鸣村、五通桥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34</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51190220230034</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梁永镇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柏茂社区、广林村、连山村、铜鼓村、升平村、宏福村、金浪村、鹦鹉村、园堡山村、火峰山村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94"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35</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51190220230035</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三江镇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龙门村、双寨村、明月寺村、大兴村、天马山村、中兴村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144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36</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51190220230036</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鼎山镇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长胜社区、果敢社区、明月村、康家坝村、石岭村、秋桂村、龙头寨村、八角丘村、松柏村、尖山子村、小寨村、康民村、白尖村、高顶村、蝉池村、观坪村、黄粱村、太阳庙社区龙湖社区、清溪村、清泉村、寸垭村、檬子村、玉凤村石笋村、碑垭村、石羊村、首市村、楼房村、鸿鹄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37</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51190220230037</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大罗镇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文昌社区、乐园村、白果坝村、铁炉垭村、董家梁村、二郎村、双渔村、七孔村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38</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51190220230038</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枣林镇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高岩村、八字村、青南村、清溪沟村、檬子树村、漩滩村、牌坊梁村、灵山村、七里扁村、枣林村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39</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51190220230039</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平梁镇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曙光社区、胜利社区、双龙村、后溪沟村、阳岭村、相坪村、青包山村、松林村、同心村、桂花树村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40</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51190220230040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大和乡</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回龙村、界牌村、东溪村、朱垭村、板凳垭村、大罗塘社区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41</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51190220230041</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白庙乡</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白庙子社区、板溪村、宝珠寺村、干沟村、九重村、学官坪村、茅垭村、百花村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72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51190220230042</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天马山镇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桂花井社区、南垭社区、寺岭村、茶园村、狮子寨村、天堂村、安家坝村、金石村、高顶寨村、天南村、方碑村柳岗社区、朝阳洞村、刘家坡村、谢家湾村、修行寺村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8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43</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51190220230043</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凤溪镇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金子村、李家村、莲花石村、星光村、柏垭子村、小河村、磨垭村、元盘村、金鼓村、龙凤观社区</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7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44</w:t>
            </w:r>
          </w:p>
        </w:tc>
        <w:tc>
          <w:tcPr>
            <w:tcW w:w="2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51190220230044</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Ⅳ</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42100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大茅坪镇</w:t>
            </w:r>
          </w:p>
        </w:tc>
        <w:tc>
          <w:tcPr>
            <w:tcW w:w="5497"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白云村、得阳村、南垭庙村</w:t>
            </w: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p>
        </w:tc>
      </w:tr>
    </w:tbl>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二、社会稳定风险评估的工作程序和工作内容</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（一）制定社会稳定风险评估工作方案，并征求有关方面意见。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（二）根据社会稳定风险评估工作方案采取查阅文件资料、实地调查、问卷调查、民意测验、座谈走访、网络舆情、听证会、公示等方式收集相关信息。</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（三）根据相关信息对社会稳定风险因素进行识别、分析，确定社会稳定风险因素类别、概率、范围等。</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（四）根据社会稳定风险因素制定预防措施。</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（五）根据社会稳定风险评估指标和预防措施确定社会稳定风险等级。</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（六）根据社会稳定风险等级确定可实施、暂缓实施、不实施的评估结论。</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（七）编制社会稳定风险评估报告。社会稳定风险评估报告应当包括重大行政决策基本情况、评估过程及方法、评估内容、分析论证、预防措施、风险等级和评估结论等内容。</w:t>
      </w:r>
    </w:p>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三、征求公众意见的范围、主要事项、主要方式和公示期限</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（一）征求公众意见的范围：可能受该事项影响的公民、法人和其他组织等利益相关者。</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（二）主要事项：该事项实施过程中产生的社会风险因素及其他相关意见。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（三）主要方式：公众可以通过信函、邮箱、电话等方式向我单位提出相关意见。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（四）公示期限：自本公示发布之日起五个工作日。</w:t>
      </w:r>
    </w:p>
    <w:p>
      <w:pPr>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四、联系方式</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主体单位：巴中市自然资源和规划局巴州分局</w:t>
      </w:r>
    </w:p>
    <w:p>
      <w:pPr>
        <w:spacing w:line="60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单位地质：巴中市巴州区南坝将军大道84号</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    话：0827-5018368</w:t>
      </w:r>
    </w:p>
    <w:p>
      <w:p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电子邮箱：</w:t>
      </w:r>
      <w:r>
        <w:rPr>
          <w:rFonts w:hint="eastAsia" w:ascii="Times New Roman" w:hAnsi="Times New Roman" w:eastAsia="方正仿宋_GBK" w:cs="Times New Roman"/>
          <w:sz w:val="32"/>
          <w:szCs w:val="32"/>
          <w:lang w:val="en-US" w:eastAsia="zh-CN"/>
        </w:rPr>
        <w:t>649380362@qq.com</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附件：巴州区征收农用地区片综合地价修订工作社会稳定风险民意调查表</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720" w:firstLineChars="2100"/>
        <w:rPr>
          <w:rFonts w:hint="eastAsia" w:ascii="Times New Roman" w:hAnsi="Times New Roman" w:eastAsia="方正仿宋_GBK" w:cs="Times New Roman"/>
          <w:sz w:val="32"/>
          <w:szCs w:val="32"/>
          <w:lang w:val="en-US" w:eastAsia="zh-CN"/>
        </w:rPr>
      </w:pPr>
    </w:p>
    <w:p>
      <w:pPr>
        <w:spacing w:line="600" w:lineRule="exact"/>
        <w:ind w:firstLine="6720" w:firstLineChars="21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巴中市自然资源和规划局巴州分局</w:t>
      </w:r>
    </w:p>
    <w:p>
      <w:pPr>
        <w:spacing w:line="600" w:lineRule="exact"/>
        <w:ind w:firstLine="640" w:firstLineChars="200"/>
        <w:rPr>
          <w:rFonts w:hint="default" w:ascii="Times New Roman" w:hAnsi="Times New Roman" w:eastAsia="方正仿宋_GBK" w:cs="Times New Roman"/>
          <w:sz w:val="32"/>
          <w:szCs w:val="32"/>
        </w:rPr>
        <w:sectPr>
          <w:footerReference r:id="rId3" w:type="default"/>
          <w:pgSz w:w="16783" w:h="23757"/>
          <w:pgMar w:top="1440" w:right="1803" w:bottom="1440" w:left="1803" w:header="851" w:footer="992" w:gutter="0"/>
          <w:pgNumType w:fmt="numberInDash"/>
          <w:cols w:space="720" w:num="1"/>
          <w:docGrid w:type="lines" w:linePitch="312" w:charSpace="0"/>
        </w:sect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2023年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月2</w:t>
      </w:r>
      <w:r>
        <w:rPr>
          <w:rFonts w:hint="eastAsia" w:ascii="Times New Roman" w:hAnsi="Times New Roman" w:eastAsia="方正仿宋_GBK" w:cs="Times New Roman"/>
          <w:sz w:val="32"/>
          <w:szCs w:val="32"/>
          <w:lang w:eastAsia="zh-CN"/>
        </w:rPr>
        <w:t>4</w:t>
      </w:r>
      <w:r>
        <w:rPr>
          <w:rFonts w:hint="default" w:ascii="Times New Roman" w:hAnsi="Times New Roman" w:eastAsia="方正仿宋_GBK" w:cs="Times New Roman"/>
          <w:sz w:val="32"/>
          <w:szCs w:val="32"/>
        </w:rPr>
        <w:t>日</w:t>
      </w:r>
    </w:p>
    <w:p>
      <w:pPr>
        <w:spacing w:line="400" w:lineRule="exact"/>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附件：</w:t>
      </w:r>
    </w:p>
    <w:p>
      <w:pPr>
        <w:pStyle w:val="2"/>
        <w:rPr>
          <w:rFonts w:hint="eastAsia"/>
        </w:rPr>
      </w:pPr>
    </w:p>
    <w:p>
      <w:pPr>
        <w:spacing w:line="400" w:lineRule="exact"/>
        <w:jc w:val="center"/>
        <w:rPr>
          <w:rFonts w:hint="default" w:ascii="Times New Roman" w:hAnsi="Times New Roman" w:eastAsia="方正小标宋_GBK" w:cs="Times New Roman"/>
          <w:sz w:val="40"/>
          <w:szCs w:val="40"/>
        </w:rPr>
      </w:pPr>
      <w:r>
        <w:rPr>
          <w:rFonts w:hint="default" w:ascii="Times New Roman" w:hAnsi="Times New Roman" w:eastAsia="方正小标宋_GBK" w:cs="Times New Roman"/>
          <w:sz w:val="40"/>
          <w:szCs w:val="40"/>
        </w:rPr>
        <w:t>巴州区征收农用地区片综合地价修订工作社会稳定风险民意调查表</w:t>
      </w:r>
    </w:p>
    <w:p>
      <w:pPr>
        <w:rPr>
          <w:rFonts w:hint="default"/>
        </w:rPr>
      </w:pPr>
    </w:p>
    <w:p>
      <w:pPr>
        <w:spacing w:line="400" w:lineRule="exact"/>
        <w:rPr>
          <w:rFonts w:hint="default" w:ascii="Times New Roman" w:hAnsi="Times New Roman" w:eastAsia="方正楷体_GBK" w:cs="Times New Roman"/>
          <w:sz w:val="24"/>
          <w:szCs w:val="28"/>
        </w:rPr>
      </w:pPr>
      <w:r>
        <w:rPr>
          <w:rFonts w:hint="default" w:ascii="Times New Roman" w:hAnsi="Times New Roman" w:eastAsia="方正楷体_GBK" w:cs="Times New Roman"/>
          <w:sz w:val="24"/>
          <w:szCs w:val="28"/>
        </w:rPr>
        <w:t>尊敬的调查对象，你好！</w:t>
      </w:r>
    </w:p>
    <w:p>
      <w:pPr>
        <w:spacing w:line="400" w:lineRule="exact"/>
        <w:ind w:firstLine="480" w:firstLineChars="200"/>
        <w:rPr>
          <w:rFonts w:hint="default" w:ascii="Times New Roman" w:hAnsi="Times New Roman" w:eastAsia="方正楷体_GBK" w:cs="Times New Roman"/>
          <w:sz w:val="24"/>
          <w:szCs w:val="28"/>
        </w:rPr>
      </w:pPr>
      <w:r>
        <w:rPr>
          <w:rFonts w:hint="default" w:ascii="Times New Roman" w:hAnsi="Times New Roman" w:eastAsia="方正楷体_GBK" w:cs="Times New Roman"/>
          <w:sz w:val="24"/>
          <w:szCs w:val="28"/>
        </w:rPr>
        <w:t>本调查表答案没有对错之分，如实回答就是最好的回答。我们保证您的回答仅用于本项目的社会稳定风险分析，不会影响到您的个人利害关系。在此表示衷心感谢！</w:t>
      </w:r>
    </w:p>
    <w:tbl>
      <w:tblPr>
        <w:tblStyle w:val="5"/>
        <w:tblW w:w="9959" w:type="dxa"/>
        <w:jc w:val="center"/>
        <w:tblInd w:w="-391" w:type="dxa"/>
        <w:tblLayout w:type="fixed"/>
        <w:tblCellMar>
          <w:top w:w="0" w:type="dxa"/>
          <w:left w:w="108" w:type="dxa"/>
          <w:bottom w:w="0" w:type="dxa"/>
          <w:right w:w="108" w:type="dxa"/>
        </w:tblCellMar>
      </w:tblPr>
      <w:tblGrid>
        <w:gridCol w:w="1004"/>
        <w:gridCol w:w="2520"/>
        <w:gridCol w:w="885"/>
        <w:gridCol w:w="2010"/>
        <w:gridCol w:w="1040"/>
        <w:gridCol w:w="2500"/>
      </w:tblGrid>
      <w:tr>
        <w:tblPrEx>
          <w:tblLayout w:type="fixed"/>
          <w:tblCellMar>
            <w:top w:w="0" w:type="dxa"/>
            <w:left w:w="108" w:type="dxa"/>
            <w:bottom w:w="0" w:type="dxa"/>
            <w:right w:w="108" w:type="dxa"/>
          </w:tblCellMar>
        </w:tblPrEx>
        <w:trPr>
          <w:trHeight w:val="90" w:hRule="atLeast"/>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rPr>
            </w:pPr>
            <w:r>
              <w:rPr>
                <w:rFonts w:ascii="Times New Roman" w:hAnsi="Times New Roman" w:cs="Times New Roman"/>
              </w:rPr>
              <w:t>姓名</w:t>
            </w:r>
          </w:p>
        </w:tc>
        <w:tc>
          <w:tcPr>
            <w:tcW w:w="2520"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rPr>
            </w:pPr>
          </w:p>
        </w:tc>
        <w:tc>
          <w:tcPr>
            <w:tcW w:w="885"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rPr>
            </w:pPr>
            <w:r>
              <w:rPr>
                <w:rFonts w:ascii="Times New Roman" w:hAnsi="Times New Roman" w:cs="Times New Roman"/>
              </w:rPr>
              <w:t>性别</w:t>
            </w:r>
          </w:p>
        </w:tc>
        <w:tc>
          <w:tcPr>
            <w:tcW w:w="2010" w:type="dxa"/>
            <w:tcBorders>
              <w:top w:val="single" w:color="000000" w:sz="4" w:space="0"/>
              <w:left w:val="single" w:color="000000" w:sz="4" w:space="0"/>
              <w:bottom w:val="single" w:color="auto" w:sz="4" w:space="0"/>
              <w:right w:val="single" w:color="000000" w:sz="4" w:space="0"/>
            </w:tcBorders>
            <w:vAlign w:val="center"/>
          </w:tcPr>
          <w:p>
            <w:pPr>
              <w:rPr>
                <w:rFonts w:ascii="Times New Roman" w:hAnsi="Times New Roman" w:cs="Times New Roman"/>
              </w:rPr>
            </w:pPr>
          </w:p>
        </w:tc>
        <w:tc>
          <w:tcPr>
            <w:tcW w:w="1040"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rPr>
            </w:pPr>
            <w:r>
              <w:rPr>
                <w:rFonts w:ascii="Times New Roman" w:hAnsi="Times New Roman" w:cs="Times New Roman"/>
              </w:rPr>
              <w:t>职业</w:t>
            </w:r>
          </w:p>
        </w:tc>
        <w:tc>
          <w:tcPr>
            <w:tcW w:w="2500"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190" w:hRule="atLeast"/>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ascii="Times New Roman" w:hAnsi="Times New Roman" w:cs="Times New Roman"/>
              </w:rPr>
              <w:t>住址</w:t>
            </w:r>
          </w:p>
        </w:tc>
        <w:tc>
          <w:tcPr>
            <w:tcW w:w="5415" w:type="dxa"/>
            <w:gridSpan w:val="3"/>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rPr>
            </w:pPr>
          </w:p>
        </w:tc>
        <w:tc>
          <w:tcPr>
            <w:tcW w:w="1040" w:type="dxa"/>
            <w:tcBorders>
              <w:top w:val="single" w:color="000000" w:sz="4" w:space="0"/>
              <w:left w:val="single" w:color="auto" w:sz="4" w:space="0"/>
              <w:bottom w:val="single" w:color="000000" w:sz="4" w:space="0"/>
              <w:right w:val="single" w:color="auto" w:sz="4" w:space="0"/>
            </w:tcBorders>
            <w:vAlign w:val="center"/>
          </w:tcPr>
          <w:p>
            <w:pPr>
              <w:rPr>
                <w:rFonts w:hint="default" w:ascii="Times New Roman" w:hAnsi="Times New Roman" w:cs="Times New Roman"/>
              </w:rPr>
            </w:pPr>
            <w:r>
              <w:rPr>
                <w:rFonts w:ascii="Times New Roman" w:hAnsi="Times New Roman" w:cs="Times New Roman"/>
              </w:rPr>
              <w:t>电话</w:t>
            </w:r>
          </w:p>
        </w:tc>
        <w:tc>
          <w:tcPr>
            <w:tcW w:w="2500"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2480"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 xml:space="preserve">    </w:t>
            </w:r>
            <w:r>
              <w:rPr>
                <w:rFonts w:ascii="Times New Roman" w:hAnsi="Times New Roman" w:cs="Times New Roman"/>
              </w:rPr>
              <w:t>项目背景：按照《土地管理法》，区片综合地价应至少每三年调整或者重新公布一次。为保持巴州区区片综合地价的现势性，维护被征地农民的切身利益，按照《四川省自然资源厅关于开展征地区片综合地价修订工作的通知》《四川省自然资源厅办公室关于印发〈四川省征收农用地区片综合地价修订技术方案（2022年版）〉的通知》要求，结合巴州区社会经济发展的实际情况，对巴州区征地区片综合地价进行修订。</w:t>
            </w:r>
            <w:r>
              <w:rPr>
                <w:rFonts w:ascii="Times New Roman" w:hAnsi="Times New Roman" w:cs="Times New Roman"/>
              </w:rPr>
              <w:br w:type="textWrapping"/>
            </w:r>
            <w:r>
              <w:rPr>
                <w:rFonts w:ascii="Times New Roman" w:hAnsi="Times New Roman" w:cs="Times New Roman"/>
              </w:rPr>
              <w:t xml:space="preserve">    征收农用地区片综合地价</w:t>
            </w:r>
            <w:r>
              <w:rPr>
                <w:rFonts w:hint="default" w:ascii="Times New Roman" w:hAnsi="Times New Roman" w:cs="Times New Roman"/>
              </w:rPr>
              <w:t>是依据土地原用途、土地资源条件、土地产值、土地区位、土地供求关系、人口以及经济社会发展水平等因素，综合测算形成，并由政府公布的征收集体农用地的土地补偿费和安置补助费标准。不包括法律规定用于社会保险缴费补贴的被征地农民社会保障费用、征收农用地涉及的地上附着物和青苗等其他补偿费用。</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1、你与本行政辖区的关系？</w:t>
            </w:r>
          </w:p>
        </w:tc>
      </w:tr>
      <w:tr>
        <w:tblPrEx>
          <w:tblLayout w:type="fixed"/>
          <w:tblCellMar>
            <w:top w:w="0" w:type="dxa"/>
            <w:left w:w="108" w:type="dxa"/>
            <w:bottom w:w="0" w:type="dxa"/>
            <w:right w:w="108" w:type="dxa"/>
          </w:tblCellMar>
        </w:tblPrEx>
        <w:trPr>
          <w:trHeight w:val="399"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rPr>
            </w:pPr>
            <w:r>
              <w:rPr>
                <w:rFonts w:hint="default" w:ascii="Times New Roman" w:hAnsi="Times New Roman" w:cs="Times New Roman"/>
              </w:rPr>
              <w:t>个人：户籍所在地□/长期居住□/临时居住□/其他□</w:t>
            </w:r>
          </w:p>
          <w:p>
            <w:pPr>
              <w:rPr>
                <w:rFonts w:ascii="Times New Roman" w:hAnsi="Times New Roman" w:cs="Times New Roman"/>
              </w:rPr>
            </w:pPr>
            <w:r>
              <w:rPr>
                <w:rFonts w:hint="default" w:ascii="Times New Roman" w:hAnsi="Times New Roman" w:cs="Times New Roman"/>
              </w:rPr>
              <w:t>单位：当地单位、团体□/周边单位、团体□/其他□</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2、你是否了解本次巴州区征收农用地区片综合地价修订事项？</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了解□/一般了解□/不了解□</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3、你是通过何种途径了解的本次征收农用地区片综合地价制定项目？</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官方公示□/网络新闻□/广播电视☑/本次调查□/其他□</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4、你认为本次征收农用地区片综合地价修订成果是否符合当前经济发展水平？</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是□/否□/不知道□</w:t>
            </w:r>
          </w:p>
        </w:tc>
      </w:tr>
      <w:tr>
        <w:tblPrEx>
          <w:tblLayout w:type="fixed"/>
          <w:tblCellMar>
            <w:top w:w="0" w:type="dxa"/>
            <w:left w:w="108" w:type="dxa"/>
            <w:bottom w:w="0" w:type="dxa"/>
            <w:right w:w="108" w:type="dxa"/>
          </w:tblCellMar>
        </w:tblPrEx>
        <w:trPr>
          <w:trHeight w:val="399"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5、你认为本次巴州区征收农用地区片综合地价修订成果实施后对你有何影响？</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有利影响□/不利影响☑/无影响□</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6、您认为本项目在哪些方面最容易发生社会稳定风险？</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 xml:space="preserve">政策程序合法性□/公众参与度不足□/经济社会影响□/区片的划分□/新旧标准的衔接□/征地补偿实施□/媒体舆论□/其他：                      </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7、您对本次修订项目的态度？</w:t>
            </w:r>
          </w:p>
        </w:tc>
      </w:tr>
      <w:tr>
        <w:tblPrEx>
          <w:tblLayout w:type="fixed"/>
          <w:tblCellMar>
            <w:top w:w="0" w:type="dxa"/>
            <w:left w:w="108" w:type="dxa"/>
            <w:bottom w:w="0" w:type="dxa"/>
            <w:right w:w="108" w:type="dxa"/>
          </w:tblCellMar>
        </w:tblPrEx>
        <w:trPr>
          <w:trHeight w:val="45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rPr>
            </w:pPr>
            <w:r>
              <w:rPr>
                <w:rFonts w:hint="default" w:ascii="Times New Roman" w:hAnsi="Times New Roman" w:cs="Times New Roman"/>
              </w:rPr>
              <w:t>支持□/不支持□</w:t>
            </w:r>
          </w:p>
        </w:tc>
      </w:tr>
      <w:tr>
        <w:tblPrEx>
          <w:tblLayout w:type="fixed"/>
          <w:tblCellMar>
            <w:top w:w="0" w:type="dxa"/>
            <w:left w:w="108" w:type="dxa"/>
            <w:bottom w:w="0" w:type="dxa"/>
            <w:right w:w="108" w:type="dxa"/>
          </w:tblCellMar>
        </w:tblPrEx>
        <w:trPr>
          <w:trHeight w:val="709"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rPr>
            </w:pPr>
            <w:r>
              <w:rPr>
                <w:rFonts w:hint="default" w:ascii="Times New Roman" w:hAnsi="Times New Roman" w:cs="Times New Roman"/>
              </w:rPr>
              <w:t>如不支持请阐述理由：</w:t>
            </w:r>
            <w:r>
              <w:rPr>
                <w:rFonts w:hint="default" w:ascii="Times New Roman" w:hAnsi="Times New Roman" w:cs="Times New Roman"/>
              </w:rPr>
              <w:br w:type="textWrapping"/>
            </w:r>
          </w:p>
        </w:tc>
      </w:tr>
      <w:tr>
        <w:tblPrEx>
          <w:tblLayout w:type="fixed"/>
          <w:tblCellMar>
            <w:top w:w="0" w:type="dxa"/>
            <w:left w:w="108" w:type="dxa"/>
            <w:bottom w:w="0" w:type="dxa"/>
            <w:right w:w="108" w:type="dxa"/>
          </w:tblCellMar>
        </w:tblPrEx>
        <w:trPr>
          <w:trHeight w:val="634" w:hRule="atLeast"/>
          <w:jc w:val="center"/>
        </w:trPr>
        <w:tc>
          <w:tcPr>
            <w:tcW w:w="9959" w:type="dxa"/>
            <w:gridSpan w:val="6"/>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rPr>
            </w:pPr>
            <w:r>
              <w:rPr>
                <w:rFonts w:hint="default" w:ascii="Times New Roman" w:hAnsi="Times New Roman" w:cs="Times New Roman"/>
              </w:rPr>
              <w:t>8、你对本次巴州区征收农用地区片综合地价修订事项有什么建议和意见：</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pPr>
    </w:p>
    <w:sectPr>
      <w:pgSz w:w="11906" w:h="16838"/>
      <w:pgMar w:top="1043" w:right="1293" w:bottom="1043" w:left="129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宋体"/>
    <w:panose1 w:val="00000000000000000000"/>
    <w:charset w:val="86"/>
    <w:family w:val="swiss"/>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72A07"/>
    <w:rsid w:val="1B245EAD"/>
    <w:rsid w:val="57DE03D5"/>
    <w:rsid w:val="65C153F1"/>
    <w:rsid w:val="6FF528F6"/>
    <w:rsid w:val="76272A07"/>
    <w:rsid w:val="76D375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2023-04-24T05:57:00Z</dcterms:created>
  <dc:creator>何英华</dc:creator>
  <cp:lastModifiedBy>何英华</cp:lastModifiedBy>
  <cp:lastPrinted>2023-05-24T08:39:52Z</cp:lastPrinted>
  <dcterms:modified xsi:type="dcterms:W3CDTF">2023-05-24T08:39:56Z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