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BA" w:rsidRPr="007707BA" w:rsidRDefault="007707BA" w:rsidP="007707BA">
      <w:pPr>
        <w:spacing w:line="600" w:lineRule="exact"/>
        <w:jc w:val="center"/>
        <w:rPr>
          <w:rFonts w:ascii="方正小标宋简体" w:eastAsia="方正小标宋简体" w:hAnsi="Calibri" w:cs="Times New Roman" w:hint="eastAsia"/>
          <w:sz w:val="36"/>
          <w:szCs w:val="36"/>
        </w:rPr>
      </w:pPr>
      <w:bookmarkStart w:id="0" w:name="OLE_LINK1"/>
      <w:r w:rsidRPr="007707BA">
        <w:rPr>
          <w:rFonts w:ascii="方正小标宋简体" w:eastAsia="方正小标宋简体" w:hAnsi="Calibri" w:cs="Times New Roman" w:hint="eastAsia"/>
          <w:sz w:val="36"/>
          <w:szCs w:val="36"/>
        </w:rPr>
        <w:t>巴中市散装水泥发展和应用专项规划（2019-2025</w:t>
      </w:r>
      <w:r>
        <w:rPr>
          <w:rFonts w:ascii="方正小标宋简体" w:eastAsia="方正小标宋简体" w:hAnsi="Calibri" w:cs="Times New Roman" w:hint="eastAsia"/>
          <w:sz w:val="36"/>
          <w:szCs w:val="36"/>
        </w:rPr>
        <w:t>）</w:t>
      </w:r>
    </w:p>
    <w:bookmarkEnd w:id="0"/>
    <w:p w:rsidR="007707BA" w:rsidRPr="007707BA" w:rsidRDefault="007707BA" w:rsidP="007707BA">
      <w:pPr>
        <w:spacing w:line="600" w:lineRule="exact"/>
        <w:jc w:val="left"/>
        <w:rPr>
          <w:rFonts w:ascii="黑体" w:eastAsia="黑体" w:hAnsi="Calibri" w:cs="Times New Roman" w:hint="eastAsia"/>
          <w:sz w:val="36"/>
          <w:szCs w:val="30"/>
        </w:rPr>
      </w:pPr>
      <w:r w:rsidRPr="007707BA">
        <w:rPr>
          <w:rFonts w:ascii="黑体" w:eastAsia="黑体" w:hAnsi="Calibri" w:cs="黑体" w:hint="eastAsia"/>
          <w:bCs/>
          <w:sz w:val="32"/>
          <w:szCs w:val="32"/>
        </w:rPr>
        <w:t>一、规划背景</w:t>
      </w:r>
    </w:p>
    <w:p w:rsidR="007707BA" w:rsidRPr="007707BA" w:rsidRDefault="007707BA" w:rsidP="007707BA">
      <w:pPr>
        <w:spacing w:line="52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根据《中华人民共和国循环经济促进法》、《四川省散装水泥管理条例》等法律、法规，国家地方有关加快散装水泥发展和应用的政策文件，结合巴中市经济发展、固定资</w:t>
      </w:r>
      <w:bookmarkStart w:id="1" w:name="_GoBack"/>
      <w:bookmarkEnd w:id="1"/>
      <w:r w:rsidRPr="007707BA">
        <w:rPr>
          <w:rFonts w:ascii="仿宋_GB2312" w:eastAsia="仿宋_GB2312" w:hAnsi="Calibri" w:cs="仿宋" w:hint="eastAsia"/>
          <w:sz w:val="32"/>
          <w:szCs w:val="32"/>
        </w:rPr>
        <w:t>产投资、人民生活水平发展趋势，并充分考虑到建筑、建材、房地产业发展态势，提出巴中市2019年—2025年期间散装水泥、预拌混凝土和预拌砂浆“三位一体”的发展目标、工作重点以及保障措施，确保巴中市散装水泥和应用行业健康、快速、可持续发展，特编制《巴中市散装水泥发展和应用专项规划（2019-2025年）》，以指导巴中市行政区域内散装水泥、预拌混凝土、预拌砂浆和混凝土预制构件发展应用的监督管理工作。</w:t>
      </w:r>
    </w:p>
    <w:p w:rsidR="007707BA" w:rsidRPr="007707BA" w:rsidRDefault="007707BA" w:rsidP="007707BA">
      <w:pPr>
        <w:spacing w:line="560" w:lineRule="exact"/>
        <w:ind w:firstLineChars="200" w:firstLine="640"/>
        <w:rPr>
          <w:rFonts w:ascii="黑体" w:eastAsia="黑体" w:hAnsi="Calibri" w:cs="黑体" w:hint="eastAsia"/>
          <w:bCs/>
          <w:sz w:val="32"/>
          <w:szCs w:val="32"/>
        </w:rPr>
      </w:pPr>
      <w:r w:rsidRPr="007707BA">
        <w:rPr>
          <w:rFonts w:ascii="黑体" w:eastAsia="黑体" w:hAnsi="Calibri" w:cs="黑体" w:hint="eastAsia"/>
          <w:bCs/>
          <w:sz w:val="32"/>
          <w:szCs w:val="32"/>
        </w:rPr>
        <w:t>二、规划期限</w:t>
      </w:r>
    </w:p>
    <w:p w:rsidR="007707BA" w:rsidRPr="007707BA" w:rsidRDefault="007707BA" w:rsidP="007707BA">
      <w:pPr>
        <w:spacing w:line="52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本规划期限为7年（2019～2025年），覆盖“十三五”和“十四五”两个国民经济和社会发展五年规划。</w:t>
      </w:r>
    </w:p>
    <w:p w:rsidR="007707BA" w:rsidRPr="007707BA" w:rsidRDefault="007707BA" w:rsidP="007707BA">
      <w:pPr>
        <w:spacing w:line="560" w:lineRule="exact"/>
        <w:ind w:firstLineChars="200" w:firstLine="640"/>
        <w:rPr>
          <w:rFonts w:ascii="黑体" w:eastAsia="黑体" w:hAnsi="Calibri" w:cs="黑体" w:hint="eastAsia"/>
          <w:bCs/>
          <w:sz w:val="32"/>
          <w:szCs w:val="32"/>
        </w:rPr>
      </w:pPr>
      <w:r w:rsidRPr="007707BA">
        <w:rPr>
          <w:rFonts w:ascii="黑体" w:eastAsia="黑体" w:hAnsi="Calibri" w:cs="黑体" w:hint="eastAsia"/>
          <w:bCs/>
          <w:sz w:val="32"/>
          <w:szCs w:val="32"/>
        </w:rPr>
        <w:t>三、规划范围</w:t>
      </w:r>
    </w:p>
    <w:p w:rsidR="007707BA" w:rsidRPr="007707BA" w:rsidRDefault="007707BA" w:rsidP="007707BA">
      <w:pPr>
        <w:spacing w:line="52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本次规划的范围为巴中市行政辖区，包含所属县（区），具体为巴州区、恩阳区、经开区、南江县、通江县和平昌县。</w:t>
      </w:r>
    </w:p>
    <w:p w:rsidR="007707BA" w:rsidRPr="007707BA" w:rsidRDefault="007707BA" w:rsidP="007707BA">
      <w:pPr>
        <w:spacing w:line="560" w:lineRule="exact"/>
        <w:ind w:firstLineChars="200" w:firstLine="640"/>
        <w:rPr>
          <w:rFonts w:ascii="黑体" w:eastAsia="黑体" w:hAnsi="Calibri" w:cs="黑体" w:hint="eastAsia"/>
          <w:bCs/>
          <w:sz w:val="32"/>
          <w:szCs w:val="32"/>
        </w:rPr>
      </w:pPr>
      <w:r w:rsidRPr="007707BA">
        <w:rPr>
          <w:rFonts w:ascii="黑体" w:eastAsia="黑体" w:hAnsi="Calibri" w:cs="黑体" w:hint="eastAsia"/>
          <w:bCs/>
          <w:sz w:val="32"/>
          <w:szCs w:val="32"/>
        </w:rPr>
        <w:t>四、规划原则</w:t>
      </w:r>
    </w:p>
    <w:p w:rsidR="007707BA" w:rsidRPr="007707BA" w:rsidRDefault="007707BA" w:rsidP="007707BA">
      <w:pPr>
        <w:spacing w:line="52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坚持可持续发展原则</w:t>
      </w:r>
      <w:r w:rsidRPr="007707BA">
        <w:rPr>
          <w:rFonts w:ascii="仿宋_GB2312" w:eastAsia="方正大标宋_GBK" w:hAnsi="仿宋_GB2312" w:cs="仿宋"/>
          <w:sz w:val="32"/>
          <w:szCs w:val="32"/>
        </w:rPr>
        <w:t>、</w:t>
      </w:r>
      <w:r w:rsidRPr="007707BA">
        <w:rPr>
          <w:rFonts w:ascii="仿宋_GB2312" w:eastAsia="仿宋_GB2312" w:hAnsi="Calibri" w:cs="仿宋" w:hint="eastAsia"/>
          <w:sz w:val="32"/>
          <w:szCs w:val="32"/>
        </w:rPr>
        <w:t>坚持绿色发展原则</w:t>
      </w:r>
      <w:r w:rsidRPr="007707BA">
        <w:rPr>
          <w:rFonts w:ascii="仿宋_GB2312" w:eastAsia="方正大标宋_GBK" w:hAnsi="仿宋_GB2312" w:cs="仿宋"/>
          <w:sz w:val="32"/>
          <w:szCs w:val="32"/>
        </w:rPr>
        <w:t>、</w:t>
      </w:r>
      <w:r w:rsidRPr="007707BA">
        <w:rPr>
          <w:rFonts w:ascii="仿宋_GB2312" w:eastAsia="仿宋_GB2312" w:hAnsi="Calibri" w:cs="仿宋" w:hint="eastAsia"/>
          <w:sz w:val="32"/>
          <w:szCs w:val="32"/>
        </w:rPr>
        <w:t>坚持扶优扶强原则</w:t>
      </w:r>
      <w:r w:rsidRPr="007707BA">
        <w:rPr>
          <w:rFonts w:ascii="仿宋_GB2312" w:eastAsia="方正大标宋_GBK" w:hAnsi="仿宋_GB2312" w:cs="仿宋"/>
          <w:sz w:val="32"/>
          <w:szCs w:val="32"/>
        </w:rPr>
        <w:t>、</w:t>
      </w:r>
      <w:r w:rsidRPr="007707BA">
        <w:rPr>
          <w:rFonts w:ascii="仿宋_GB2312" w:eastAsia="仿宋_GB2312" w:hAnsi="Calibri" w:cs="仿宋" w:hint="eastAsia"/>
          <w:sz w:val="32"/>
          <w:szCs w:val="32"/>
        </w:rPr>
        <w:t>坚持优化布局原则</w:t>
      </w:r>
      <w:r w:rsidRPr="007707BA">
        <w:rPr>
          <w:rFonts w:ascii="仿宋_GB2312" w:eastAsia="方正大标宋_GBK" w:hAnsi="仿宋_GB2312" w:cs="仿宋"/>
          <w:sz w:val="32"/>
          <w:szCs w:val="32"/>
        </w:rPr>
        <w:t>、</w:t>
      </w:r>
      <w:r w:rsidRPr="007707BA">
        <w:rPr>
          <w:rFonts w:ascii="仿宋_GB2312" w:eastAsia="仿宋_GB2312" w:hAnsi="Calibri" w:cs="仿宋" w:hint="eastAsia"/>
          <w:sz w:val="32"/>
          <w:szCs w:val="32"/>
        </w:rPr>
        <w:t>坚持技术创新原则。</w:t>
      </w:r>
    </w:p>
    <w:p w:rsidR="007707BA" w:rsidRPr="007707BA" w:rsidRDefault="007707BA" w:rsidP="007707BA">
      <w:pPr>
        <w:numPr>
          <w:ilvl w:val="0"/>
          <w:numId w:val="1"/>
        </w:numPr>
        <w:spacing w:line="560" w:lineRule="exact"/>
        <w:rPr>
          <w:rFonts w:ascii="宋体" w:eastAsia="宋体" w:hAnsi="Calibri" w:cs="Times New Roman" w:hint="eastAsia"/>
          <w:b/>
          <w:sz w:val="32"/>
          <w:szCs w:val="32"/>
        </w:rPr>
      </w:pPr>
      <w:r w:rsidRPr="007707BA">
        <w:rPr>
          <w:rFonts w:ascii="宋体" w:eastAsia="宋体" w:hAnsi="Calibri" w:cs="Times New Roman" w:hint="eastAsia"/>
          <w:b/>
          <w:sz w:val="32"/>
          <w:szCs w:val="32"/>
        </w:rPr>
        <w:t>规划内容</w:t>
      </w:r>
    </w:p>
    <w:p w:rsidR="007707BA" w:rsidRPr="007707BA" w:rsidRDefault="007707BA" w:rsidP="007707BA">
      <w:pPr>
        <w:spacing w:line="560" w:lineRule="exact"/>
        <w:rPr>
          <w:rFonts w:ascii="宋体" w:eastAsia="宋体" w:hAnsi="Calibri" w:cs="Times New Roman" w:hint="eastAsia"/>
          <w:b/>
          <w:sz w:val="32"/>
          <w:szCs w:val="32"/>
        </w:rPr>
      </w:pPr>
      <w:r w:rsidRPr="007707BA">
        <w:rPr>
          <w:rFonts w:ascii="宋体" w:eastAsia="宋体" w:hAnsi="Calibri" w:cs="Times New Roman" w:hint="eastAsia"/>
          <w:b/>
          <w:sz w:val="32"/>
          <w:szCs w:val="32"/>
        </w:rPr>
        <w:t>（一）预拌混凝土搅拌站布局规划</w:t>
      </w:r>
    </w:p>
    <w:p w:rsidR="007707BA" w:rsidRPr="007707BA" w:rsidRDefault="007707BA" w:rsidP="007707BA">
      <w:pPr>
        <w:spacing w:line="560" w:lineRule="exact"/>
        <w:ind w:firstLineChars="200" w:firstLine="643"/>
        <w:rPr>
          <w:rFonts w:ascii="宋体" w:eastAsia="宋体" w:hAnsi="Calibri" w:cs="Times New Roman" w:hint="eastAsia"/>
          <w:b/>
          <w:bCs/>
          <w:sz w:val="32"/>
          <w:szCs w:val="32"/>
        </w:rPr>
      </w:pPr>
      <w:r w:rsidRPr="007707BA">
        <w:rPr>
          <w:rFonts w:ascii="宋体" w:eastAsia="宋体" w:hAnsi="Calibri" w:cs="Times New Roman" w:hint="eastAsia"/>
          <w:b/>
          <w:bCs/>
          <w:sz w:val="32"/>
          <w:szCs w:val="32"/>
        </w:rPr>
        <w:lastRenderedPageBreak/>
        <w:t>1．规划预拌混凝土站点类型</w:t>
      </w:r>
    </w:p>
    <w:p w:rsidR="007707BA" w:rsidRPr="007707BA" w:rsidRDefault="007707BA" w:rsidP="007707BA">
      <w:pPr>
        <w:spacing w:line="52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本次规划预拌混凝土站点分为三种类型，分别为：保留、新增、备选站点。</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宋体" w:eastAsia="宋体" w:hAnsi="Calibri" w:cs="Times New Roman" w:hint="eastAsia"/>
          <w:sz w:val="32"/>
          <w:szCs w:val="32"/>
        </w:rPr>
        <w:t>（1）</w:t>
      </w:r>
      <w:r w:rsidRPr="007707BA">
        <w:rPr>
          <w:rFonts w:ascii="宋体" w:eastAsia="宋体" w:hAnsi="Calibri" w:cs="Times New Roman" w:hint="eastAsia"/>
          <w:b/>
          <w:bCs/>
          <w:sz w:val="32"/>
          <w:szCs w:val="32"/>
        </w:rPr>
        <w:t>规划保留站点</w:t>
      </w:r>
      <w:r w:rsidRPr="007707BA">
        <w:rPr>
          <w:rFonts w:ascii="宋体" w:eastAsia="宋体" w:hAnsi="Calibri" w:cs="Times New Roman" w:hint="eastAsia"/>
          <w:sz w:val="32"/>
          <w:szCs w:val="32"/>
        </w:rPr>
        <w:t>：</w:t>
      </w:r>
      <w:r w:rsidRPr="007707BA">
        <w:rPr>
          <w:rFonts w:ascii="仿宋_GB2312" w:eastAsia="仿宋_GB2312" w:hAnsi="Calibri" w:cs="仿宋" w:hint="eastAsia"/>
          <w:sz w:val="32"/>
          <w:szCs w:val="32"/>
        </w:rPr>
        <w:t>是指已经拥有正规资质的站点，在规划中对其进行保留。</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宋体" w:eastAsia="宋体" w:hAnsi="Calibri" w:cs="Times New Roman" w:hint="eastAsia"/>
          <w:sz w:val="32"/>
          <w:szCs w:val="32"/>
        </w:rPr>
        <w:t>（2）</w:t>
      </w:r>
      <w:r w:rsidRPr="007707BA">
        <w:rPr>
          <w:rFonts w:ascii="宋体" w:eastAsia="宋体" w:hAnsi="Calibri" w:cs="Times New Roman" w:hint="eastAsia"/>
          <w:b/>
          <w:bCs/>
          <w:sz w:val="32"/>
          <w:szCs w:val="32"/>
        </w:rPr>
        <w:t>规划新增站点</w:t>
      </w:r>
      <w:r w:rsidRPr="007707BA">
        <w:rPr>
          <w:rFonts w:ascii="宋体" w:eastAsia="宋体" w:hAnsi="Calibri" w:cs="Times New Roman" w:hint="eastAsia"/>
          <w:sz w:val="32"/>
          <w:szCs w:val="32"/>
        </w:rPr>
        <w:t>：</w:t>
      </w:r>
      <w:r w:rsidRPr="007707BA">
        <w:rPr>
          <w:rFonts w:ascii="仿宋_GB2312" w:eastAsia="仿宋_GB2312" w:hAnsi="Calibri" w:cs="仿宋" w:hint="eastAsia"/>
          <w:sz w:val="32"/>
          <w:szCs w:val="32"/>
        </w:rPr>
        <w:t>是指根据各县区预拌混凝土的需求，有利于市场竞争而新增加的站点，该站点的规划设计产能数据纳入规划</w:t>
      </w:r>
      <w:proofErr w:type="gramStart"/>
      <w:r w:rsidRPr="007707BA">
        <w:rPr>
          <w:rFonts w:ascii="仿宋_GB2312" w:eastAsia="仿宋_GB2312" w:hAnsi="Calibri" w:cs="仿宋" w:hint="eastAsia"/>
          <w:sz w:val="32"/>
          <w:szCs w:val="32"/>
        </w:rPr>
        <w:t>期全市</w:t>
      </w:r>
      <w:proofErr w:type="gramEnd"/>
      <w:r w:rsidRPr="007707BA">
        <w:rPr>
          <w:rFonts w:ascii="仿宋_GB2312" w:eastAsia="仿宋_GB2312" w:hAnsi="Calibri" w:cs="仿宋" w:hint="eastAsia"/>
          <w:sz w:val="32"/>
          <w:szCs w:val="32"/>
        </w:rPr>
        <w:t>产能利用率计算。</w:t>
      </w:r>
    </w:p>
    <w:p w:rsidR="007707BA" w:rsidRPr="007707BA" w:rsidRDefault="007707BA" w:rsidP="007707BA">
      <w:pPr>
        <w:spacing w:line="560" w:lineRule="exact"/>
        <w:ind w:firstLineChars="200" w:firstLine="640"/>
        <w:rPr>
          <w:rFonts w:ascii="宋体" w:eastAsia="宋体" w:hAnsi="Calibri" w:cs="Times New Roman" w:hint="eastAsia"/>
          <w:sz w:val="32"/>
          <w:szCs w:val="32"/>
        </w:rPr>
      </w:pPr>
      <w:r w:rsidRPr="007707BA">
        <w:rPr>
          <w:rFonts w:ascii="宋体" w:eastAsia="宋体" w:hAnsi="Calibri" w:cs="Times New Roman" w:hint="eastAsia"/>
          <w:sz w:val="32"/>
          <w:szCs w:val="32"/>
        </w:rPr>
        <w:t>（3）</w:t>
      </w:r>
      <w:r w:rsidRPr="007707BA">
        <w:rPr>
          <w:rFonts w:ascii="宋体" w:eastAsia="宋体" w:hAnsi="Calibri" w:cs="Times New Roman" w:hint="eastAsia"/>
          <w:b/>
          <w:bCs/>
          <w:sz w:val="32"/>
          <w:szCs w:val="32"/>
        </w:rPr>
        <w:t>规划备选站点</w:t>
      </w:r>
      <w:r w:rsidRPr="007707BA">
        <w:rPr>
          <w:rFonts w:ascii="宋体" w:eastAsia="宋体" w:hAnsi="Calibri" w:cs="Times New Roman" w:hint="eastAsia"/>
          <w:sz w:val="32"/>
          <w:szCs w:val="32"/>
        </w:rPr>
        <w:t>：</w:t>
      </w:r>
      <w:r w:rsidRPr="007707BA">
        <w:rPr>
          <w:rFonts w:ascii="仿宋_GB2312" w:eastAsia="仿宋_GB2312" w:hAnsi="Calibri" w:cs="仿宋" w:hint="eastAsia"/>
          <w:sz w:val="32"/>
          <w:szCs w:val="32"/>
        </w:rPr>
        <w:t>是指在规划期内，为推进农村地区散装水泥的应用，在混凝土市场仍有需求的情况下才能启动建设实施的站点，该类站点不纳入规划期产能利用率计算。</w:t>
      </w:r>
    </w:p>
    <w:p w:rsidR="007707BA" w:rsidRPr="007707BA" w:rsidRDefault="007707BA" w:rsidP="007707BA">
      <w:pPr>
        <w:spacing w:line="560" w:lineRule="exact"/>
        <w:ind w:firstLineChars="200" w:firstLine="643"/>
        <w:rPr>
          <w:rFonts w:ascii="宋体" w:eastAsia="宋体" w:hAnsi="Calibri" w:cs="Times New Roman" w:hint="eastAsia"/>
          <w:b/>
          <w:bCs/>
          <w:sz w:val="32"/>
          <w:szCs w:val="32"/>
        </w:rPr>
      </w:pPr>
      <w:r w:rsidRPr="007707BA">
        <w:rPr>
          <w:rFonts w:ascii="宋体" w:eastAsia="宋体" w:hAnsi="Calibri" w:cs="Times New Roman" w:hint="eastAsia"/>
          <w:b/>
          <w:bCs/>
          <w:sz w:val="32"/>
          <w:szCs w:val="32"/>
        </w:rPr>
        <w:t>2．预拌混凝土搅拌站布局规划</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（1）规划布点原则</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在维护预拌混凝土市场健康发展的前提下，适当增加预拌混凝土站数量及产能，有利于促进预拌混凝土市场良性竞争，平抑预拌混凝土市场价格。</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为了满足集镇和农村推广预拌混凝土的需要，在城市规划区外增加兼顾城市又面向农村的预拌混凝土站点。</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预拌混凝土站点规划应满足预拌混凝土市场各地区平衡。</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本规划确定的新增站点和备选站点为区域性位置，在建设前应按照各县区城市总体规划和控制性详细规划进行具体点位的选址。选址需避让自然保护地、生态保护红线、永久基本农田、</w:t>
      </w:r>
      <w:r w:rsidRPr="007707BA">
        <w:rPr>
          <w:rFonts w:ascii="仿宋_GB2312" w:eastAsia="仿宋_GB2312" w:hAnsi="Calibri" w:cs="仿宋" w:hint="eastAsia"/>
          <w:sz w:val="32"/>
          <w:szCs w:val="32"/>
        </w:rPr>
        <w:lastRenderedPageBreak/>
        <w:t>文物保护、水域蓝线等相关保护区域。</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规划保留的预拌混凝土站点随着城市建设，对城市规划有影响的站点应按照城市规划迁出现址。</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（2）预拌混凝土站点布置</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规划到2025年末全市预拌混凝土站总数控制在23个。其中：保留现状站20个，</w:t>
      </w:r>
      <w:proofErr w:type="gramStart"/>
      <w:r w:rsidRPr="007707BA">
        <w:rPr>
          <w:rFonts w:ascii="仿宋_GB2312" w:eastAsia="仿宋_GB2312" w:hAnsi="Calibri" w:cs="仿宋" w:hint="eastAsia"/>
          <w:sz w:val="32"/>
          <w:szCs w:val="32"/>
        </w:rPr>
        <w:t>新增站</w:t>
      </w:r>
      <w:proofErr w:type="gramEnd"/>
      <w:r w:rsidRPr="007707BA">
        <w:rPr>
          <w:rFonts w:ascii="仿宋_GB2312" w:eastAsia="仿宋_GB2312" w:hAnsi="Calibri" w:cs="仿宋" w:hint="eastAsia"/>
          <w:sz w:val="32"/>
          <w:szCs w:val="32"/>
        </w:rPr>
        <w:t>3个。</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巴州、恩阳、经开区规划预拌混凝土搅拌站8个，其中：保留现状站6个，</w:t>
      </w:r>
      <w:proofErr w:type="gramStart"/>
      <w:r w:rsidRPr="007707BA">
        <w:rPr>
          <w:rFonts w:ascii="仿宋_GB2312" w:eastAsia="仿宋_GB2312" w:hAnsi="Calibri" w:cs="仿宋" w:hint="eastAsia"/>
          <w:sz w:val="32"/>
          <w:szCs w:val="32"/>
        </w:rPr>
        <w:t>新增站</w:t>
      </w:r>
      <w:proofErr w:type="gramEnd"/>
      <w:r w:rsidRPr="007707BA">
        <w:rPr>
          <w:rFonts w:ascii="仿宋_GB2312" w:eastAsia="仿宋_GB2312" w:hAnsi="Calibri" w:cs="仿宋" w:hint="eastAsia"/>
          <w:sz w:val="32"/>
          <w:szCs w:val="32"/>
        </w:rPr>
        <w:t>2个。</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南江县规划预拌混凝土搅拌站6个，保留现状站6个。</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通江县规划预拌混凝土搅拌站5个，保留现状站5个。</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平昌县规划预拌混凝土搅拌站4个，其中：保留现状站3个，</w:t>
      </w:r>
      <w:proofErr w:type="gramStart"/>
      <w:r w:rsidRPr="007707BA">
        <w:rPr>
          <w:rFonts w:ascii="仿宋_GB2312" w:eastAsia="仿宋_GB2312" w:hAnsi="Calibri" w:cs="仿宋" w:hint="eastAsia"/>
          <w:sz w:val="32"/>
          <w:szCs w:val="32"/>
        </w:rPr>
        <w:t>新增站</w:t>
      </w:r>
      <w:proofErr w:type="gramEnd"/>
      <w:r w:rsidRPr="007707BA">
        <w:rPr>
          <w:rFonts w:ascii="仿宋_GB2312" w:eastAsia="仿宋_GB2312" w:hAnsi="Calibri" w:cs="仿宋" w:hint="eastAsia"/>
          <w:sz w:val="32"/>
          <w:szCs w:val="32"/>
        </w:rPr>
        <w:t>1个。</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proofErr w:type="gramStart"/>
      <w:r w:rsidRPr="007707BA">
        <w:rPr>
          <w:rFonts w:ascii="仿宋_GB2312" w:eastAsia="仿宋_GB2312" w:hAnsi="Calibri" w:cs="仿宋" w:hint="eastAsia"/>
          <w:sz w:val="32"/>
          <w:szCs w:val="32"/>
        </w:rPr>
        <w:t>另规划</w:t>
      </w:r>
      <w:proofErr w:type="gramEnd"/>
      <w:r w:rsidRPr="007707BA">
        <w:rPr>
          <w:rFonts w:ascii="仿宋_GB2312" w:eastAsia="仿宋_GB2312" w:hAnsi="Calibri" w:cs="仿宋" w:hint="eastAsia"/>
          <w:sz w:val="32"/>
          <w:szCs w:val="32"/>
        </w:rPr>
        <w:t>预拌混凝土</w:t>
      </w:r>
      <w:proofErr w:type="gramStart"/>
      <w:r w:rsidRPr="007707BA">
        <w:rPr>
          <w:rFonts w:ascii="仿宋_GB2312" w:eastAsia="仿宋_GB2312" w:hAnsi="Calibri" w:cs="仿宋" w:hint="eastAsia"/>
          <w:sz w:val="32"/>
          <w:szCs w:val="32"/>
        </w:rPr>
        <w:t>备选站</w:t>
      </w:r>
      <w:proofErr w:type="gramEnd"/>
      <w:r w:rsidRPr="007707BA">
        <w:rPr>
          <w:rFonts w:ascii="仿宋_GB2312" w:eastAsia="仿宋_GB2312" w:hAnsi="Calibri" w:cs="仿宋" w:hint="eastAsia"/>
          <w:sz w:val="32"/>
          <w:szCs w:val="32"/>
        </w:rPr>
        <w:t>3个，分别在南江县预留1个、通江县预留2个。</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（3）对城市建设有影响的站点</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在城市规划区内保留的现状站点，随着城市建设范围的扩大，站点场地的规划用地性质发生改变，此类站点应服从城市总体规划、控制性详细规划迁出现址。</w:t>
      </w:r>
    </w:p>
    <w:p w:rsidR="007707BA" w:rsidRPr="007707BA" w:rsidRDefault="007707BA" w:rsidP="007707BA">
      <w:pPr>
        <w:spacing w:line="560" w:lineRule="exact"/>
        <w:ind w:firstLineChars="200" w:firstLine="643"/>
        <w:rPr>
          <w:rFonts w:ascii="宋体" w:eastAsia="宋体" w:hAnsi="Calibri" w:cs="Times New Roman" w:hint="eastAsia"/>
          <w:b/>
          <w:bCs/>
          <w:sz w:val="32"/>
          <w:szCs w:val="32"/>
        </w:rPr>
      </w:pPr>
      <w:r w:rsidRPr="007707BA">
        <w:rPr>
          <w:rFonts w:ascii="宋体" w:eastAsia="宋体" w:hAnsi="Calibri" w:cs="Times New Roman" w:hint="eastAsia"/>
          <w:b/>
          <w:bCs/>
          <w:sz w:val="32"/>
          <w:szCs w:val="32"/>
        </w:rPr>
        <w:t>3.“禁现”范围划定</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规划在巴中市城市规划区范围“禁现”的基础上，巩固“禁现”成果，将“禁现”范围扩大到其他县城规划区范围和建有预拌混凝土搅拌站的镇规划区范围。</w:t>
      </w:r>
    </w:p>
    <w:p w:rsidR="007707BA" w:rsidRPr="007707BA" w:rsidRDefault="007707BA" w:rsidP="007707BA">
      <w:pPr>
        <w:spacing w:line="560" w:lineRule="exact"/>
        <w:ind w:firstLineChars="200" w:firstLine="643"/>
        <w:rPr>
          <w:rFonts w:ascii="宋体" w:eastAsia="宋体" w:hAnsi="Calibri" w:cs="Times New Roman" w:hint="eastAsia"/>
          <w:b/>
          <w:sz w:val="32"/>
          <w:szCs w:val="32"/>
        </w:rPr>
      </w:pPr>
      <w:r w:rsidRPr="007707BA">
        <w:rPr>
          <w:rFonts w:ascii="宋体" w:eastAsia="宋体" w:hAnsi="Calibri" w:cs="Times New Roman" w:hint="eastAsia"/>
          <w:b/>
          <w:sz w:val="32"/>
          <w:szCs w:val="32"/>
        </w:rPr>
        <w:lastRenderedPageBreak/>
        <w:t>（二）预拌砂浆</w:t>
      </w:r>
      <w:r w:rsidRPr="007707BA">
        <w:rPr>
          <w:rFonts w:ascii="宋体" w:eastAsia="宋体" w:hAnsi="Calibri" w:cs="Times New Roman" w:hint="eastAsia"/>
          <w:b/>
          <w:bCs/>
          <w:sz w:val="32"/>
          <w:szCs w:val="32"/>
        </w:rPr>
        <w:t>站</w:t>
      </w:r>
      <w:r w:rsidRPr="007707BA">
        <w:rPr>
          <w:rFonts w:ascii="宋体" w:eastAsia="宋体" w:hAnsi="Calibri" w:cs="Times New Roman" w:hint="eastAsia"/>
          <w:b/>
          <w:sz w:val="32"/>
          <w:szCs w:val="32"/>
        </w:rPr>
        <w:t>布局规划</w:t>
      </w:r>
    </w:p>
    <w:p w:rsidR="007707BA" w:rsidRPr="007707BA" w:rsidRDefault="007707BA" w:rsidP="007707BA">
      <w:pPr>
        <w:spacing w:line="560" w:lineRule="exact"/>
        <w:ind w:firstLineChars="200" w:firstLine="643"/>
        <w:rPr>
          <w:rFonts w:ascii="宋体" w:eastAsia="宋体" w:hAnsi="Calibri" w:cs="Times New Roman" w:hint="eastAsia"/>
          <w:b/>
          <w:bCs/>
          <w:sz w:val="32"/>
          <w:szCs w:val="32"/>
        </w:rPr>
      </w:pPr>
      <w:r w:rsidRPr="007707BA">
        <w:rPr>
          <w:rFonts w:ascii="宋体" w:eastAsia="宋体" w:hAnsi="Calibri" w:cs="Times New Roman" w:hint="eastAsia"/>
          <w:b/>
          <w:bCs/>
          <w:sz w:val="32"/>
          <w:szCs w:val="32"/>
        </w:rPr>
        <w:t>1.预拌砂浆站点布置</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规划到2025年末全市预拌砂浆站点控制在10个（保留现状站点4个，新增站点6个）。</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（1）巴州、恩阳、经开区规划预拌砂浆站4个（保留现状站3个、</w:t>
      </w:r>
      <w:proofErr w:type="gramStart"/>
      <w:r w:rsidRPr="007707BA">
        <w:rPr>
          <w:rFonts w:ascii="仿宋_GB2312" w:eastAsia="仿宋_GB2312" w:hAnsi="Calibri" w:cs="仿宋" w:hint="eastAsia"/>
          <w:sz w:val="32"/>
          <w:szCs w:val="32"/>
        </w:rPr>
        <w:t>新增站</w:t>
      </w:r>
      <w:proofErr w:type="gramEnd"/>
      <w:r w:rsidRPr="007707BA">
        <w:rPr>
          <w:rFonts w:ascii="仿宋_GB2312" w:eastAsia="仿宋_GB2312" w:hAnsi="Calibri" w:cs="仿宋" w:hint="eastAsia"/>
          <w:sz w:val="32"/>
          <w:szCs w:val="32"/>
        </w:rPr>
        <w:t>1个）；</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（2）南江县规划新增预拌砂浆站2个；</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（3）通江县规划新增预拌砂浆站2个；</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（4）平昌县规划预拌砂浆站2个（保留现状站1个、</w:t>
      </w:r>
      <w:proofErr w:type="gramStart"/>
      <w:r w:rsidRPr="007707BA">
        <w:rPr>
          <w:rFonts w:ascii="仿宋_GB2312" w:eastAsia="仿宋_GB2312" w:hAnsi="Calibri" w:cs="仿宋" w:hint="eastAsia"/>
          <w:sz w:val="32"/>
          <w:szCs w:val="32"/>
        </w:rPr>
        <w:t>新增站</w:t>
      </w:r>
      <w:proofErr w:type="gramEnd"/>
      <w:r w:rsidRPr="007707BA">
        <w:rPr>
          <w:rFonts w:ascii="仿宋_GB2312" w:eastAsia="仿宋_GB2312" w:hAnsi="Calibri" w:cs="仿宋" w:hint="eastAsia"/>
          <w:sz w:val="32"/>
          <w:szCs w:val="32"/>
        </w:rPr>
        <w:t>1个）。</w:t>
      </w:r>
    </w:p>
    <w:p w:rsidR="007707BA" w:rsidRPr="007707BA" w:rsidRDefault="007707BA" w:rsidP="007707BA">
      <w:pPr>
        <w:spacing w:line="560" w:lineRule="exact"/>
        <w:ind w:firstLineChars="200" w:firstLine="643"/>
        <w:rPr>
          <w:rFonts w:ascii="宋体" w:eastAsia="宋体" w:hAnsi="Calibri" w:cs="Times New Roman" w:hint="eastAsia"/>
          <w:sz w:val="32"/>
          <w:szCs w:val="32"/>
        </w:rPr>
      </w:pPr>
      <w:r w:rsidRPr="007707BA">
        <w:rPr>
          <w:rFonts w:ascii="宋体" w:eastAsia="宋体" w:hAnsi="Calibri" w:cs="Times New Roman" w:hint="eastAsia"/>
          <w:b/>
          <w:bCs/>
          <w:sz w:val="32"/>
          <w:szCs w:val="32"/>
        </w:rPr>
        <w:t>2.“禁现”范围划定</w:t>
      </w:r>
    </w:p>
    <w:p w:rsidR="007707BA" w:rsidRPr="007707BA" w:rsidRDefault="007707BA" w:rsidP="007707BA">
      <w:pPr>
        <w:spacing w:line="560" w:lineRule="exact"/>
        <w:ind w:firstLineChars="200" w:firstLine="640"/>
        <w:rPr>
          <w:rFonts w:ascii="宋体" w:eastAsia="宋体" w:hAnsi="Calibri" w:cs="Times New Roman" w:hint="eastAsia"/>
          <w:sz w:val="32"/>
          <w:szCs w:val="32"/>
        </w:rPr>
      </w:pPr>
      <w:r w:rsidRPr="007707BA">
        <w:rPr>
          <w:rFonts w:ascii="仿宋_GB2312" w:eastAsia="仿宋_GB2312" w:hAnsi="Calibri" w:cs="仿宋" w:hint="eastAsia"/>
          <w:sz w:val="32"/>
          <w:szCs w:val="32"/>
        </w:rPr>
        <w:t>全市规划预拌砂浆站点已覆盖三区三县城区范围，规划中心城区砂浆</w:t>
      </w:r>
      <w:proofErr w:type="gramStart"/>
      <w:r w:rsidRPr="007707BA">
        <w:rPr>
          <w:rFonts w:ascii="仿宋_GB2312" w:eastAsia="仿宋_GB2312" w:hAnsi="Calibri" w:cs="仿宋" w:hint="eastAsia"/>
          <w:sz w:val="32"/>
          <w:szCs w:val="32"/>
        </w:rPr>
        <w:t>禁现范围</w:t>
      </w:r>
      <w:proofErr w:type="gramEnd"/>
      <w:r w:rsidRPr="007707BA">
        <w:rPr>
          <w:rFonts w:ascii="仿宋_GB2312" w:eastAsia="仿宋_GB2312" w:hAnsi="Calibri" w:cs="仿宋" w:hint="eastAsia"/>
          <w:sz w:val="32"/>
          <w:szCs w:val="32"/>
        </w:rPr>
        <w:t>扩大至城市规划区，加强各县城市规划区禁止现场搅拌砂浆的监督管理工作。</w:t>
      </w:r>
    </w:p>
    <w:p w:rsidR="007707BA" w:rsidRPr="007707BA" w:rsidRDefault="007707BA" w:rsidP="007707BA">
      <w:pPr>
        <w:spacing w:line="560" w:lineRule="exact"/>
        <w:ind w:firstLineChars="200" w:firstLine="643"/>
        <w:rPr>
          <w:rFonts w:ascii="宋体" w:eastAsia="宋体" w:hAnsi="Calibri" w:cs="Times New Roman" w:hint="eastAsia"/>
          <w:b/>
          <w:sz w:val="32"/>
          <w:szCs w:val="32"/>
        </w:rPr>
      </w:pPr>
      <w:r w:rsidRPr="007707BA">
        <w:rPr>
          <w:rFonts w:ascii="宋体" w:eastAsia="宋体" w:hAnsi="Calibri" w:cs="Times New Roman" w:hint="eastAsia"/>
          <w:b/>
          <w:sz w:val="32"/>
          <w:szCs w:val="32"/>
        </w:rPr>
        <w:t>六、规划目标</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全市到2025年末应达到如下发展目标：</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（一）水泥生产企业散装水泥供应能力达到100%，</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（二）散装水泥推广量达到328万吨，散装率达66.00%，年均提高0.5个百分点；</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（三）预拌混凝土产能达到1420万立方米，产量达到388万立方米；</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（四）预拌砂浆产能达到302万立方米，产量达到55万立</w:t>
      </w:r>
      <w:r w:rsidRPr="007707BA">
        <w:rPr>
          <w:rFonts w:ascii="仿宋_GB2312" w:eastAsia="仿宋_GB2312" w:hAnsi="Calibri" w:cs="仿宋" w:hint="eastAsia"/>
          <w:sz w:val="32"/>
          <w:szCs w:val="32"/>
        </w:rPr>
        <w:lastRenderedPageBreak/>
        <w:t>方米；</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（五）农村散装水泥推广量达到83万吨，水泥散装率40.90%，年均提高1.0个百分点。</w:t>
      </w:r>
    </w:p>
    <w:p w:rsidR="007707BA" w:rsidRPr="007707BA" w:rsidRDefault="007707BA" w:rsidP="007707BA">
      <w:pPr>
        <w:spacing w:line="560" w:lineRule="exact"/>
        <w:ind w:firstLineChars="200" w:firstLine="643"/>
        <w:rPr>
          <w:rFonts w:ascii="宋体" w:eastAsia="宋体" w:hAnsi="Calibri" w:cs="Times New Roman" w:hint="eastAsia"/>
          <w:b/>
          <w:sz w:val="32"/>
          <w:szCs w:val="32"/>
        </w:rPr>
      </w:pPr>
      <w:r w:rsidRPr="007707BA">
        <w:rPr>
          <w:rFonts w:ascii="宋体" w:eastAsia="宋体" w:hAnsi="Calibri" w:cs="Times New Roman" w:hint="eastAsia"/>
          <w:b/>
          <w:sz w:val="32"/>
          <w:szCs w:val="32"/>
        </w:rPr>
        <w:t>七、规划实施建议</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（一）加强组织领导，加快散装水泥发展步伐。</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（二）依法治散，严格执行散装水泥法规及发展规划。</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（三）实施“科技兴散”战略，提高散装水泥技术装备水平。</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（四）加大散装水泥宣传教育力度，提高发展散装水泥的意识。</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（五）编制散装水泥发展应用资金预算，推动散装水泥发展和应用。</w:t>
      </w:r>
    </w:p>
    <w:p w:rsidR="007707BA" w:rsidRPr="007707BA" w:rsidRDefault="007707BA" w:rsidP="007707BA">
      <w:pPr>
        <w:spacing w:line="560" w:lineRule="exact"/>
        <w:ind w:firstLineChars="200" w:firstLine="640"/>
        <w:rPr>
          <w:rFonts w:ascii="仿宋_GB2312" w:eastAsia="仿宋_GB2312" w:hAnsi="Calibri" w:cs="仿宋" w:hint="eastAsia"/>
          <w:sz w:val="32"/>
          <w:szCs w:val="32"/>
        </w:rPr>
      </w:pPr>
      <w:r w:rsidRPr="007707BA">
        <w:rPr>
          <w:rFonts w:ascii="仿宋_GB2312" w:eastAsia="仿宋_GB2312" w:hAnsi="Calibri" w:cs="仿宋" w:hint="eastAsia"/>
          <w:sz w:val="32"/>
          <w:szCs w:val="32"/>
        </w:rPr>
        <w:t>（六）抓好绩效考核，巩固争先创优的散装水泥发展局面。</w:t>
      </w:r>
    </w:p>
    <w:p w:rsidR="007707BA" w:rsidRPr="007707BA" w:rsidRDefault="007707BA" w:rsidP="007707BA">
      <w:pPr>
        <w:spacing w:line="560" w:lineRule="exact"/>
        <w:rPr>
          <w:rFonts w:ascii="宋体" w:eastAsia="宋体" w:hAnsi="Calibri" w:cs="Times New Roman" w:hint="eastAsia"/>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r w:rsidRPr="007707BA">
        <w:rPr>
          <w:rFonts w:ascii="宋体" w:eastAsia="宋体" w:hAnsi="Calibri" w:cs="Times New Roman" w:hint="eastAsia"/>
          <w:b/>
          <w:bCs/>
          <w:sz w:val="32"/>
          <w:szCs w:val="32"/>
        </w:rPr>
        <w:lastRenderedPageBreak/>
        <w:t>市域预拌混凝土发展规划图</w:t>
      </w:r>
    </w:p>
    <w:p w:rsidR="007707BA" w:rsidRPr="007707BA" w:rsidRDefault="007707BA" w:rsidP="007707BA">
      <w:pPr>
        <w:jc w:val="center"/>
        <w:rPr>
          <w:rFonts w:ascii="宋体" w:eastAsia="宋体" w:hAnsi="Calibri" w:cs="Times New Roman" w:hint="eastAsia"/>
          <w:sz w:val="32"/>
          <w:szCs w:val="32"/>
        </w:rPr>
      </w:pPr>
      <w:r>
        <w:rPr>
          <w:rFonts w:ascii="宋体" w:eastAsia="宋体" w:hAnsi="Calibri" w:cs="Times New Roman"/>
          <w:noProof/>
          <w:sz w:val="32"/>
          <w:szCs w:val="32"/>
        </w:rPr>
        <w:drawing>
          <wp:inline distT="0" distB="0" distL="0" distR="0">
            <wp:extent cx="4010025" cy="5676900"/>
            <wp:effectExtent l="0" t="0" r="9525" b="0"/>
            <wp:docPr id="4" name="图片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0025" cy="5676900"/>
                    </a:xfrm>
                    <a:prstGeom prst="rect">
                      <a:avLst/>
                    </a:prstGeom>
                    <a:noFill/>
                    <a:ln>
                      <a:noFill/>
                    </a:ln>
                    <a:effectLst/>
                  </pic:spPr>
                </pic:pic>
              </a:graphicData>
            </a:graphic>
          </wp:inline>
        </w:drawing>
      </w:r>
    </w:p>
    <w:p w:rsidR="007707BA" w:rsidRPr="007707BA" w:rsidRDefault="007707BA" w:rsidP="007707BA">
      <w:pPr>
        <w:rPr>
          <w:rFonts w:ascii="宋体" w:eastAsia="宋体" w:hAnsi="Calibri" w:cs="Times New Roman" w:hint="eastAsia"/>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b/>
          <w:bCs/>
          <w:sz w:val="32"/>
          <w:szCs w:val="32"/>
        </w:rPr>
      </w:pPr>
    </w:p>
    <w:p w:rsidR="007707BA" w:rsidRPr="007707BA" w:rsidRDefault="007707BA" w:rsidP="007707BA">
      <w:pPr>
        <w:spacing w:line="560" w:lineRule="exact"/>
        <w:ind w:left="640"/>
        <w:jc w:val="center"/>
        <w:rPr>
          <w:rFonts w:ascii="宋体" w:eastAsia="宋体" w:hAnsi="Calibri" w:cs="Times New Roman" w:hint="eastAsia"/>
          <w:sz w:val="32"/>
          <w:szCs w:val="32"/>
        </w:rPr>
      </w:pPr>
      <w:r w:rsidRPr="007707BA">
        <w:rPr>
          <w:rFonts w:ascii="宋体" w:eastAsia="宋体" w:hAnsi="Calibri" w:cs="Times New Roman" w:hint="eastAsia"/>
          <w:b/>
          <w:bCs/>
          <w:sz w:val="32"/>
          <w:szCs w:val="32"/>
        </w:rPr>
        <w:t>市域预拌砂浆发展规划图</w:t>
      </w:r>
    </w:p>
    <w:p w:rsidR="007707BA" w:rsidRPr="007707BA" w:rsidRDefault="007707BA" w:rsidP="007707BA">
      <w:pPr>
        <w:jc w:val="center"/>
        <w:rPr>
          <w:rFonts w:ascii="Calibri" w:eastAsia="宋体" w:hAnsi="Calibri" w:cs="Times New Roman"/>
          <w:szCs w:val="20"/>
        </w:rPr>
      </w:pPr>
      <w:r>
        <w:rPr>
          <w:rFonts w:ascii="Calibri" w:eastAsia="宋体" w:hAnsi="Calibri" w:cs="Times New Roman"/>
          <w:noProof/>
          <w:szCs w:val="20"/>
        </w:rPr>
        <w:drawing>
          <wp:inline distT="0" distB="0" distL="0" distR="0">
            <wp:extent cx="4371975" cy="6181725"/>
            <wp:effectExtent l="0" t="0" r="9525" b="9525"/>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975" cy="6181725"/>
                    </a:xfrm>
                    <a:prstGeom prst="rect">
                      <a:avLst/>
                    </a:prstGeom>
                    <a:noFill/>
                    <a:ln>
                      <a:noFill/>
                    </a:ln>
                    <a:effectLst/>
                  </pic:spPr>
                </pic:pic>
              </a:graphicData>
            </a:graphic>
          </wp:inline>
        </w:drawing>
      </w:r>
    </w:p>
    <w:p w:rsidR="007707BA" w:rsidRPr="007707BA" w:rsidRDefault="007707BA" w:rsidP="007707BA">
      <w:pPr>
        <w:rPr>
          <w:rFonts w:ascii="Calibri" w:eastAsia="宋体" w:hAnsi="Calibri" w:cs="Arial"/>
        </w:rPr>
      </w:pPr>
    </w:p>
    <w:p w:rsidR="00FF4E4E" w:rsidRDefault="00FF4E4E"/>
    <w:sectPr w:rsidR="00FF4E4E" w:rsidSect="008639CC">
      <w:headerReference w:type="default" r:id="rId10"/>
      <w:footerReference w:type="default" r:id="rId11"/>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D7" w:rsidRDefault="00F02BD7" w:rsidP="007707BA">
      <w:r>
        <w:separator/>
      </w:r>
    </w:p>
  </w:endnote>
  <w:endnote w:type="continuationSeparator" w:id="0">
    <w:p w:rsidR="00F02BD7" w:rsidRDefault="00F02BD7" w:rsidP="0077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_GBK">
    <w:altName w:val="Arial Unicode MS"/>
    <w:charset w:val="86"/>
    <w:family w:val="script"/>
    <w:pitch w:val="variable"/>
    <w:sig w:usb0="00000000" w:usb1="08CF7CFA"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7F" w:rsidRDefault="00F02B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D7" w:rsidRDefault="00F02BD7" w:rsidP="007707BA">
      <w:r>
        <w:separator/>
      </w:r>
    </w:p>
  </w:footnote>
  <w:footnote w:type="continuationSeparator" w:id="0">
    <w:p w:rsidR="00F02BD7" w:rsidRDefault="00F02BD7" w:rsidP="0077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7F" w:rsidRDefault="00F02BD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B928F"/>
    <w:multiLevelType w:val="singleLevel"/>
    <w:tmpl w:val="60E8178C"/>
    <w:lvl w:ilvl="0">
      <w:start w:val="5"/>
      <w:numFmt w:val="chineseCounting"/>
      <w:suff w:val="nothing"/>
      <w:lvlText w:val="%1、"/>
      <w:lvlJc w:val="left"/>
      <w:pPr>
        <w:tabs>
          <w:tab w:val="num"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7C"/>
    <w:rsid w:val="0002097C"/>
    <w:rsid w:val="00383CE0"/>
    <w:rsid w:val="003C0D5C"/>
    <w:rsid w:val="006F1A70"/>
    <w:rsid w:val="007707BA"/>
    <w:rsid w:val="007B4521"/>
    <w:rsid w:val="00963D5B"/>
    <w:rsid w:val="00C36F07"/>
    <w:rsid w:val="00DB51B4"/>
    <w:rsid w:val="00F02BD7"/>
    <w:rsid w:val="00F95756"/>
    <w:rsid w:val="00FF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07BA"/>
    <w:rPr>
      <w:sz w:val="18"/>
      <w:szCs w:val="18"/>
    </w:rPr>
  </w:style>
  <w:style w:type="paragraph" w:styleId="a4">
    <w:name w:val="footer"/>
    <w:basedOn w:val="a"/>
    <w:link w:val="Char0"/>
    <w:uiPriority w:val="99"/>
    <w:unhideWhenUsed/>
    <w:rsid w:val="007707BA"/>
    <w:pPr>
      <w:tabs>
        <w:tab w:val="center" w:pos="4153"/>
        <w:tab w:val="right" w:pos="8306"/>
      </w:tabs>
      <w:snapToGrid w:val="0"/>
      <w:jc w:val="left"/>
    </w:pPr>
    <w:rPr>
      <w:sz w:val="18"/>
      <w:szCs w:val="18"/>
    </w:rPr>
  </w:style>
  <w:style w:type="character" w:customStyle="1" w:styleId="Char0">
    <w:name w:val="页脚 Char"/>
    <w:basedOn w:val="a0"/>
    <w:link w:val="a4"/>
    <w:uiPriority w:val="99"/>
    <w:rsid w:val="007707BA"/>
    <w:rPr>
      <w:sz w:val="18"/>
      <w:szCs w:val="18"/>
    </w:rPr>
  </w:style>
  <w:style w:type="paragraph" w:styleId="a5">
    <w:name w:val="Balloon Text"/>
    <w:basedOn w:val="a"/>
    <w:link w:val="Char1"/>
    <w:uiPriority w:val="99"/>
    <w:semiHidden/>
    <w:unhideWhenUsed/>
    <w:rsid w:val="007707BA"/>
    <w:rPr>
      <w:sz w:val="18"/>
      <w:szCs w:val="18"/>
    </w:rPr>
  </w:style>
  <w:style w:type="character" w:customStyle="1" w:styleId="Char1">
    <w:name w:val="批注框文本 Char"/>
    <w:basedOn w:val="a0"/>
    <w:link w:val="a5"/>
    <w:uiPriority w:val="99"/>
    <w:semiHidden/>
    <w:rsid w:val="007707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0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07BA"/>
    <w:rPr>
      <w:sz w:val="18"/>
      <w:szCs w:val="18"/>
    </w:rPr>
  </w:style>
  <w:style w:type="paragraph" w:styleId="a4">
    <w:name w:val="footer"/>
    <w:basedOn w:val="a"/>
    <w:link w:val="Char0"/>
    <w:uiPriority w:val="99"/>
    <w:unhideWhenUsed/>
    <w:rsid w:val="007707BA"/>
    <w:pPr>
      <w:tabs>
        <w:tab w:val="center" w:pos="4153"/>
        <w:tab w:val="right" w:pos="8306"/>
      </w:tabs>
      <w:snapToGrid w:val="0"/>
      <w:jc w:val="left"/>
    </w:pPr>
    <w:rPr>
      <w:sz w:val="18"/>
      <w:szCs w:val="18"/>
    </w:rPr>
  </w:style>
  <w:style w:type="character" w:customStyle="1" w:styleId="Char0">
    <w:name w:val="页脚 Char"/>
    <w:basedOn w:val="a0"/>
    <w:link w:val="a4"/>
    <w:uiPriority w:val="99"/>
    <w:rsid w:val="007707BA"/>
    <w:rPr>
      <w:sz w:val="18"/>
      <w:szCs w:val="18"/>
    </w:rPr>
  </w:style>
  <w:style w:type="paragraph" w:styleId="a5">
    <w:name w:val="Balloon Text"/>
    <w:basedOn w:val="a"/>
    <w:link w:val="Char1"/>
    <w:uiPriority w:val="99"/>
    <w:semiHidden/>
    <w:unhideWhenUsed/>
    <w:rsid w:val="007707BA"/>
    <w:rPr>
      <w:sz w:val="18"/>
      <w:szCs w:val="18"/>
    </w:rPr>
  </w:style>
  <w:style w:type="character" w:customStyle="1" w:styleId="Char1">
    <w:name w:val="批注框文本 Char"/>
    <w:basedOn w:val="a0"/>
    <w:link w:val="a5"/>
    <w:uiPriority w:val="99"/>
    <w:semiHidden/>
    <w:rsid w:val="007707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974</Words>
  <Characters>1122</Characters>
  <Application>Microsoft Office Word</Application>
  <DocSecurity>0</DocSecurity>
  <Lines>59</Lines>
  <Paragraphs>45</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办公室:丁绮</dc:creator>
  <cp:keywords/>
  <dc:description/>
  <cp:lastModifiedBy>办公室:丁绮</cp:lastModifiedBy>
  <cp:revision>2</cp:revision>
  <dcterms:created xsi:type="dcterms:W3CDTF">2021-12-17T07:41:00Z</dcterms:created>
  <dcterms:modified xsi:type="dcterms:W3CDTF">2021-12-17T07:45:00Z</dcterms:modified>
</cp:coreProperties>
</file>