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7A4B" w:rsidRPr="00CC0AF5" w:rsidRDefault="00277A4B" w:rsidP="00277A4B">
      <w:pPr>
        <w:spacing w:line="580" w:lineRule="exact"/>
        <w:ind w:firstLineChars="200" w:firstLine="640"/>
        <w:rPr>
          <w:rFonts w:ascii="方正黑体_GBK" w:eastAsia="方正黑体_GBK" w:hAnsi="Times New Roman" w:hint="eastAsia"/>
          <w:bCs/>
          <w:sz w:val="32"/>
          <w:szCs w:val="32"/>
        </w:rPr>
      </w:pPr>
      <w:r w:rsidRPr="00CC0AF5">
        <w:rPr>
          <w:rFonts w:ascii="方正黑体_GBK" w:eastAsia="方正黑体_GBK" w:hAnsi="Times New Roman" w:hint="eastAsia"/>
          <w:bCs/>
          <w:sz w:val="32"/>
          <w:szCs w:val="32"/>
        </w:rPr>
        <w:t>一、功能定位、控制规模和规划结构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sz w:val="32"/>
          <w:szCs w:val="32"/>
        </w:rPr>
        <w:t>1.功能定位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Times New Roman" w:eastAsia="方正仿宋简体" w:hAnsi="Times New Roman"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成渝产业协作配套产业基地；新型电池制造基地；西部石墨（烯）及先进碳材料基地。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sz w:val="32"/>
          <w:szCs w:val="32"/>
        </w:rPr>
        <w:t>2. 控制规模</w:t>
      </w:r>
    </w:p>
    <w:p w:rsidR="00277A4B" w:rsidRPr="00CC0AF5" w:rsidRDefault="00277A4B" w:rsidP="00277A4B">
      <w:pPr>
        <w:spacing w:line="560" w:lineRule="exact"/>
        <w:ind w:firstLine="560"/>
        <w:rPr>
          <w:rFonts w:ascii="Times New Roman" w:eastAsia="方正仿宋简体" w:hAnsi="Times New Roman"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本次规划区总用地面积为</w:t>
      </w:r>
      <w:r w:rsidRPr="00CC0AF5">
        <w:rPr>
          <w:rFonts w:ascii="Times New Roman" w:eastAsia="方正仿宋简体" w:hAnsi="Times New Roman"/>
          <w:sz w:val="32"/>
          <w:szCs w:val="32"/>
        </w:rPr>
        <w:t>1056.81</w:t>
      </w:r>
      <w:r w:rsidRPr="00CC0AF5">
        <w:rPr>
          <w:rFonts w:ascii="方正仿宋简体" w:eastAsia="方正仿宋简体" w:hAnsi="Times New Roman" w:hint="eastAsia"/>
          <w:sz w:val="32"/>
          <w:szCs w:val="32"/>
        </w:rPr>
        <w:t>公顷，其中城市建设用地面积</w:t>
      </w:r>
      <w:r w:rsidRPr="00CC0AF5">
        <w:rPr>
          <w:rFonts w:ascii="Times New Roman" w:eastAsia="方正仿宋简体" w:hAnsi="Times New Roman"/>
          <w:sz w:val="32"/>
          <w:szCs w:val="32"/>
        </w:rPr>
        <w:t>807.38</w:t>
      </w:r>
      <w:r w:rsidRPr="00CC0AF5">
        <w:rPr>
          <w:rFonts w:ascii="方正仿宋简体" w:eastAsia="方正仿宋简体" w:hAnsi="Times New Roman" w:hint="eastAsia"/>
          <w:sz w:val="32"/>
          <w:szCs w:val="32"/>
        </w:rPr>
        <w:t>公顷</w:t>
      </w:r>
      <w:r w:rsidRPr="00CC0AF5">
        <w:rPr>
          <w:rFonts w:ascii="Times New Roman" w:eastAsia="方正仿宋简体" w:hAnsi="Times New Roman"/>
          <w:sz w:val="32"/>
          <w:szCs w:val="32"/>
        </w:rPr>
        <w:t>,</w:t>
      </w:r>
      <w:r w:rsidRPr="00CC0AF5">
        <w:rPr>
          <w:rFonts w:ascii="方正仿宋简体" w:eastAsia="方正仿宋简体" w:hAnsi="Times New Roman" w:hint="eastAsia"/>
          <w:sz w:val="32"/>
          <w:szCs w:val="32"/>
        </w:rPr>
        <w:t>非建设用地</w:t>
      </w:r>
      <w:r w:rsidRPr="00CC0AF5">
        <w:rPr>
          <w:rFonts w:ascii="Times New Roman" w:eastAsia="方正仿宋简体" w:hAnsi="Times New Roman"/>
          <w:sz w:val="32"/>
          <w:szCs w:val="32"/>
        </w:rPr>
        <w:t>249.43</w:t>
      </w:r>
      <w:r w:rsidRPr="00CC0AF5">
        <w:rPr>
          <w:rFonts w:ascii="方正仿宋简体" w:eastAsia="方正仿宋简体" w:hAnsi="Times New Roman" w:hint="eastAsia"/>
          <w:sz w:val="32"/>
          <w:szCs w:val="32"/>
        </w:rPr>
        <w:t>公顷。</w:t>
      </w:r>
    </w:p>
    <w:p w:rsidR="00277A4B" w:rsidRPr="00CC0AF5" w:rsidRDefault="00277A4B" w:rsidP="00277A4B">
      <w:pPr>
        <w:numPr>
          <w:ilvl w:val="0"/>
          <w:numId w:val="1"/>
        </w:numPr>
        <w:spacing w:line="560" w:lineRule="exact"/>
        <w:ind w:firstLineChars="200" w:firstLine="640"/>
        <w:rPr>
          <w:rFonts w:ascii="方正楷体简体" w:eastAsia="方正楷体简体" w:hAnsi="Times New Roman" w:hint="eastAsia"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sz w:val="32"/>
          <w:szCs w:val="32"/>
        </w:rPr>
        <w:t>规划结构</w:t>
      </w:r>
    </w:p>
    <w:p w:rsidR="00277A4B" w:rsidRPr="00CC0AF5" w:rsidRDefault="00277A4B" w:rsidP="00277A4B">
      <w:pPr>
        <w:spacing w:line="560" w:lineRule="exact"/>
        <w:ind w:firstLine="560"/>
        <w:rPr>
          <w:rFonts w:ascii="方正仿宋简体" w:eastAsia="方正仿宋简体" w:hAnsi="Times New Roman" w:hint="eastAsia"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规划形成</w:t>
      </w:r>
      <w:r w:rsidRPr="00CC0AF5">
        <w:rPr>
          <w:rFonts w:ascii="Times New Roman" w:eastAsia="方正仿宋简体" w:hAnsi="Times New Roman"/>
          <w:sz w:val="32"/>
          <w:szCs w:val="32"/>
        </w:rPr>
        <w:t>“</w:t>
      </w:r>
      <w:r w:rsidRPr="00CC0AF5">
        <w:rPr>
          <w:rFonts w:ascii="方正仿宋简体" w:eastAsia="方正仿宋简体" w:hAnsi="Times New Roman" w:hint="eastAsia"/>
          <w:sz w:val="32"/>
          <w:szCs w:val="32"/>
        </w:rPr>
        <w:t>两轴、四组团</w:t>
      </w:r>
      <w:r w:rsidRPr="00CC0AF5">
        <w:rPr>
          <w:rFonts w:ascii="Times New Roman" w:eastAsia="方正仿宋简体" w:hAnsi="Times New Roman"/>
          <w:sz w:val="32"/>
          <w:szCs w:val="32"/>
        </w:rPr>
        <w:t>”</w:t>
      </w:r>
      <w:r w:rsidRPr="00CC0AF5">
        <w:rPr>
          <w:rFonts w:ascii="方正仿宋简体" w:eastAsia="方正仿宋简体" w:hAnsi="Times New Roman" w:hint="eastAsia"/>
          <w:sz w:val="32"/>
          <w:szCs w:val="32"/>
        </w:rPr>
        <w:t xml:space="preserve">的空间结构。 </w:t>
      </w:r>
    </w:p>
    <w:p w:rsidR="00277A4B" w:rsidRPr="00CC0AF5" w:rsidRDefault="00277A4B" w:rsidP="00277A4B">
      <w:pPr>
        <w:numPr>
          <w:ilvl w:val="0"/>
          <w:numId w:val="2"/>
        </w:numPr>
        <w:spacing w:line="560" w:lineRule="exact"/>
        <w:ind w:firstLine="561"/>
        <w:rPr>
          <w:rFonts w:ascii="方正仿宋简体" w:eastAsia="方正仿宋简体" w:hAnsi="Times New Roman" w:hint="eastAsia"/>
          <w:b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/>
          <w:bCs/>
          <w:sz w:val="32"/>
          <w:szCs w:val="32"/>
        </w:rPr>
        <w:t>两轴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Times New Roman" w:eastAsia="方正仿宋简体" w:hAnsi="Times New Roman"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老城、兴文——曾</w:t>
      </w:r>
      <w:proofErr w:type="gramStart"/>
      <w:r w:rsidRPr="00CC0AF5">
        <w:rPr>
          <w:rFonts w:ascii="方正仿宋简体" w:eastAsia="方正仿宋简体" w:hAnsi="Times New Roman" w:hint="eastAsia"/>
          <w:sz w:val="32"/>
          <w:szCs w:val="32"/>
        </w:rPr>
        <w:t>口功能</w:t>
      </w:r>
      <w:proofErr w:type="gramEnd"/>
      <w:r w:rsidRPr="00CC0AF5">
        <w:rPr>
          <w:rFonts w:ascii="方正仿宋简体" w:eastAsia="方正仿宋简体" w:hAnsi="Times New Roman" w:hint="eastAsia"/>
          <w:sz w:val="32"/>
          <w:szCs w:val="32"/>
        </w:rPr>
        <w:t>发展轴（新材大道）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Times New Roman" w:eastAsia="方正仿宋简体" w:hAnsi="Times New Roman"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清江——曾</w:t>
      </w:r>
      <w:proofErr w:type="gramStart"/>
      <w:r w:rsidRPr="00CC0AF5">
        <w:rPr>
          <w:rFonts w:ascii="方正仿宋简体" w:eastAsia="方正仿宋简体" w:hAnsi="Times New Roman" w:hint="eastAsia"/>
          <w:sz w:val="32"/>
          <w:szCs w:val="32"/>
        </w:rPr>
        <w:t>口功能</w:t>
      </w:r>
      <w:proofErr w:type="gramEnd"/>
      <w:r w:rsidRPr="00CC0AF5">
        <w:rPr>
          <w:rFonts w:ascii="方正仿宋简体" w:eastAsia="方正仿宋简体" w:hAnsi="Times New Roman" w:hint="eastAsia"/>
          <w:sz w:val="32"/>
          <w:szCs w:val="32"/>
        </w:rPr>
        <w:t>联系轴（新源大道）</w:t>
      </w:r>
    </w:p>
    <w:p w:rsidR="00277A4B" w:rsidRPr="00CC0AF5" w:rsidRDefault="00277A4B" w:rsidP="00277A4B">
      <w:pPr>
        <w:numPr>
          <w:ilvl w:val="0"/>
          <w:numId w:val="2"/>
        </w:numPr>
        <w:spacing w:line="560" w:lineRule="exact"/>
        <w:ind w:firstLine="561"/>
        <w:rPr>
          <w:rFonts w:ascii="方正仿宋简体" w:eastAsia="方正仿宋简体" w:hAnsi="Times New Roman" w:hint="eastAsia"/>
          <w:b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/>
          <w:bCs/>
          <w:sz w:val="32"/>
          <w:szCs w:val="32"/>
        </w:rPr>
        <w:t>四组团</w:t>
      </w:r>
    </w:p>
    <w:p w:rsidR="00277A4B" w:rsidRPr="00CC0AF5" w:rsidRDefault="00277A4B" w:rsidP="00277A4B">
      <w:pPr>
        <w:ind w:firstLineChars="200" w:firstLine="640"/>
        <w:jc w:val="left"/>
        <w:rPr>
          <w:rFonts w:ascii="Times New Roman" w:eastAsia="方正仿宋简体" w:hAnsi="Times New Roman"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行政商贸服务区、主导产业发展区、智慧物流仓储区、产业配套区</w:t>
      </w:r>
    </w:p>
    <w:p w:rsidR="00277A4B" w:rsidRPr="00CC0AF5" w:rsidRDefault="00277A4B" w:rsidP="00277A4B">
      <w:pPr>
        <w:jc w:val="center"/>
        <w:rPr>
          <w:rFonts w:ascii="Times New Roman" w:eastAsia="方正仿宋简体" w:hAnsi="Times New Roman"/>
          <w:sz w:val="32"/>
          <w:szCs w:val="32"/>
        </w:rPr>
      </w:pPr>
      <w:r>
        <w:rPr>
          <w:rFonts w:ascii="Times New Roman" w:eastAsia="方正小标宋_GBK" w:hAnsi="Times New Roman"/>
          <w:noProof/>
          <w:szCs w:val="21"/>
        </w:rPr>
        <w:lastRenderedPageBreak/>
        <w:drawing>
          <wp:inline distT="0" distB="0" distL="0" distR="0" wp14:anchorId="65BB7FD2" wp14:editId="65237640">
            <wp:extent cx="5057775" cy="7153275"/>
            <wp:effectExtent l="0" t="0" r="9525" b="9525"/>
            <wp:docPr id="14" name="图片 14" descr="wpsV6uRfR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psV6uRfR.png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15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77A4B" w:rsidRPr="00CC0AF5" w:rsidRDefault="00277A4B" w:rsidP="00277A4B">
      <w:pPr>
        <w:spacing w:line="560" w:lineRule="exact"/>
        <w:ind w:firstLine="560"/>
        <w:rPr>
          <w:rFonts w:ascii="方正黑体_GBK" w:eastAsia="方正黑体_GBK" w:hAnsi="Times New Roman" w:hint="eastAsia"/>
          <w:bCs/>
          <w:sz w:val="32"/>
          <w:szCs w:val="32"/>
        </w:rPr>
      </w:pPr>
      <w:r w:rsidRPr="00CC0AF5">
        <w:rPr>
          <w:rFonts w:ascii="方正黑体_GBK" w:eastAsia="方正黑体_GBK" w:hAnsi="Times New Roman" w:hint="eastAsia"/>
          <w:bCs/>
          <w:sz w:val="32"/>
          <w:szCs w:val="32"/>
        </w:rPr>
        <w:t>二、用地规划</w:t>
      </w:r>
    </w:p>
    <w:p w:rsidR="00277A4B" w:rsidRPr="00CC0AF5" w:rsidRDefault="00277A4B" w:rsidP="00277A4B">
      <w:pPr>
        <w:ind w:firstLineChars="200" w:firstLine="640"/>
        <w:rPr>
          <w:rFonts w:ascii="Times New Roman" w:eastAsia="方正仿宋简体" w:hAnsi="Times New Roman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规划总用地面积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1056.81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公顷，其中建设用地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807.38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公顷，非建设用地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249.43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公顷。</w:t>
      </w:r>
    </w:p>
    <w:p w:rsidR="00277A4B" w:rsidRPr="00CC0AF5" w:rsidRDefault="00277A4B" w:rsidP="00277A4B">
      <w:pPr>
        <w:ind w:firstLineChars="200" w:firstLine="640"/>
        <w:rPr>
          <w:rFonts w:ascii="Times New Roman" w:eastAsia="方正仿宋简体" w:hAnsi="Times New Roman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规划城市建设用地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807.38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公顷，其中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: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规划居住用地规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lastRenderedPageBreak/>
        <w:t>模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15.11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公顷，占城市建设用地的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1.87%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；规划公共管理与公共服务设施用地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6.56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公顷，占城市建设用地的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0.81%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；规划商业服务业设施用地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7.80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公顷，占城市建设用地的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0.97%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；规划工业用地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454.30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公顷，占城市建设用地的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56.27%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；规划物流仓储用地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29.45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公顷，占城市建设用地的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3.65%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；规划公共设施用地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13.15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公顷，占城市建设用地的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1.63%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；规划道路与交通设施用地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169.06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公顷，占城市建设用地的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20.94%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；规划绿地与广场用地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111.95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公顷，占城市建设用地的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13.87%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。</w:t>
      </w:r>
    </w:p>
    <w:p w:rsidR="00277A4B" w:rsidRPr="00CC0AF5" w:rsidRDefault="00277A4B" w:rsidP="00277A4B">
      <w:pPr>
        <w:jc w:val="center"/>
        <w:rPr>
          <w:rFonts w:ascii="Times New Roman" w:eastAsia="方正仿宋简体" w:hAnsi="Times New Roman"/>
          <w:bCs/>
          <w:sz w:val="32"/>
          <w:szCs w:val="32"/>
        </w:rPr>
      </w:pPr>
      <w:r>
        <w:rPr>
          <w:rFonts w:ascii="Times New Roman" w:eastAsia="方正小标宋_GBK" w:hAnsi="Times New Roman"/>
          <w:noProof/>
          <w:szCs w:val="21"/>
        </w:rPr>
        <w:lastRenderedPageBreak/>
        <w:drawing>
          <wp:inline distT="0" distB="0" distL="0" distR="0" wp14:anchorId="1C7C62B9" wp14:editId="6AE41524">
            <wp:extent cx="5276850" cy="7458075"/>
            <wp:effectExtent l="0" t="0" r="0" b="9525"/>
            <wp:docPr id="13" name="图片 13" descr="wpsm1abcz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wpsm1abcz.pn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277A4B" w:rsidRPr="00CC0AF5" w:rsidRDefault="00277A4B" w:rsidP="00277A4B">
      <w:pPr>
        <w:ind w:firstLineChars="200" w:firstLine="640"/>
        <w:rPr>
          <w:rFonts w:ascii="方正黑体_GBK" w:eastAsia="方正黑体_GBK" w:hAnsi="Times New Roman" w:hint="eastAsia"/>
          <w:bCs/>
          <w:sz w:val="32"/>
          <w:szCs w:val="32"/>
        </w:rPr>
      </w:pPr>
      <w:r w:rsidRPr="00CC0AF5">
        <w:rPr>
          <w:rFonts w:ascii="方正黑体_GBK" w:eastAsia="方正黑体_GBK" w:hAnsi="Times New Roman" w:hint="eastAsia"/>
          <w:bCs/>
          <w:sz w:val="32"/>
          <w:szCs w:val="32"/>
        </w:rPr>
        <w:t>三、公共管理与公共服务设施规划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Times New Roman" w:eastAsia="方正仿宋简体" w:hAnsi="Times New Roman" w:hint="eastAsia"/>
          <w:bCs/>
          <w:sz w:val="32"/>
          <w:szCs w:val="32"/>
        </w:rPr>
      </w:pPr>
      <w:r w:rsidRPr="00CC0AF5">
        <w:rPr>
          <w:rFonts w:ascii="Times New Roman" w:eastAsia="方正仿宋简体" w:hAnsi="Times New Roman" w:hint="eastAsia"/>
          <w:bCs/>
          <w:sz w:val="32"/>
          <w:szCs w:val="32"/>
        </w:rPr>
        <w:t>规划公共管理与公共服务设施用地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6.56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公顷，占城市建设用地面积的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0.81%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。其中：规划行政办公用地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6.56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lastRenderedPageBreak/>
        <w:t>为园区管理中心。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黑体_GBK" w:eastAsia="方正黑体_GBK" w:hAnsi="Times New Roman" w:hint="eastAsia"/>
          <w:bCs/>
          <w:sz w:val="32"/>
          <w:szCs w:val="32"/>
        </w:rPr>
      </w:pPr>
      <w:r w:rsidRPr="00CC0AF5">
        <w:rPr>
          <w:rFonts w:ascii="方正黑体_GBK" w:eastAsia="方正黑体_GBK" w:hAnsi="Times New Roman" w:hint="eastAsia"/>
          <w:bCs/>
          <w:sz w:val="32"/>
          <w:szCs w:val="32"/>
        </w:rPr>
        <w:t>四、商业服务业设施用地规划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仿宋简体" w:eastAsia="方正仿宋简体" w:hAnsi="Times New Roman" w:hint="eastAsia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规划商业服务业设施用地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7.80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公顷，占城市建设用地面积的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0.97%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。其中：</w:t>
      </w:r>
    </w:p>
    <w:p w:rsidR="00277A4B" w:rsidRPr="00CC0AF5" w:rsidRDefault="00277A4B" w:rsidP="00277A4B">
      <w:pPr>
        <w:numPr>
          <w:ilvl w:val="0"/>
          <w:numId w:val="3"/>
        </w:num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商业设施用地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仿宋简体" w:eastAsia="方正仿宋简体" w:hAnsi="Times New Roman" w:hint="eastAsia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规划商业设施用地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7.30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公顷，占城市建设用地面积的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0.90%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。</w:t>
      </w:r>
    </w:p>
    <w:p w:rsidR="00277A4B" w:rsidRPr="00CC0AF5" w:rsidRDefault="00277A4B" w:rsidP="00277A4B">
      <w:pPr>
        <w:numPr>
          <w:ilvl w:val="0"/>
          <w:numId w:val="3"/>
        </w:num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公用设施营业网点用地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Times New Roman" w:eastAsia="方正仿宋简体" w:hAnsi="Times New Roman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规划公用设施营业网点用地面积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0.50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公顷，占城市建设用地面积的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0.07%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。主要包括规划加油站等设施用地。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黑体_GBK" w:eastAsia="方正黑体_GBK" w:hAnsi="Times New Roman" w:hint="eastAsia"/>
          <w:bCs/>
          <w:sz w:val="32"/>
          <w:szCs w:val="32"/>
        </w:rPr>
      </w:pPr>
      <w:r w:rsidRPr="00CC0AF5">
        <w:rPr>
          <w:rFonts w:ascii="方正黑体_GBK" w:eastAsia="方正黑体_GBK" w:hAnsi="Times New Roman" w:hint="eastAsia"/>
          <w:bCs/>
          <w:sz w:val="32"/>
          <w:szCs w:val="32"/>
        </w:rPr>
        <w:t>五、综合交通规划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1. 道路系统结构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仿宋简体" w:eastAsia="方正仿宋简体" w:hAnsi="Times New Roman" w:hint="eastAsia"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考虑规划区对外交通功能，结合规划区功能定位、道路规划断面经济合理等因素，形成</w:t>
      </w:r>
      <w:proofErr w:type="gramStart"/>
      <w:r w:rsidRPr="00CC0AF5">
        <w:rPr>
          <w:rFonts w:ascii="方正仿宋简体" w:eastAsia="方正仿宋简体" w:hAnsi="Times New Roman" w:hint="eastAsia"/>
          <w:sz w:val="32"/>
          <w:szCs w:val="32"/>
        </w:rPr>
        <w:t>一</w:t>
      </w:r>
      <w:proofErr w:type="gramEnd"/>
      <w:r w:rsidRPr="00CC0AF5">
        <w:rPr>
          <w:rFonts w:ascii="方正仿宋简体" w:eastAsia="方正仿宋简体" w:hAnsi="Times New Roman" w:hint="eastAsia"/>
          <w:sz w:val="32"/>
          <w:szCs w:val="32"/>
        </w:rPr>
        <w:t>铁路</w:t>
      </w:r>
      <w:r w:rsidRPr="00CC0AF5">
        <w:rPr>
          <w:rFonts w:ascii="Times New Roman" w:eastAsia="方正仿宋简体" w:hAnsi="Times New Roman"/>
          <w:sz w:val="32"/>
          <w:szCs w:val="32"/>
        </w:rPr>
        <w:t>+</w:t>
      </w:r>
      <w:proofErr w:type="gramStart"/>
      <w:r w:rsidRPr="00CC0AF5">
        <w:rPr>
          <w:rFonts w:ascii="方正仿宋简体" w:eastAsia="方正仿宋简体" w:hAnsi="Times New Roman" w:hint="eastAsia"/>
          <w:sz w:val="32"/>
          <w:szCs w:val="32"/>
        </w:rPr>
        <w:t>三快速</w:t>
      </w:r>
      <w:proofErr w:type="gramEnd"/>
      <w:r w:rsidRPr="00CC0AF5">
        <w:rPr>
          <w:rFonts w:ascii="方正仿宋简体" w:eastAsia="方正仿宋简体" w:hAnsi="Times New Roman" w:hint="eastAsia"/>
          <w:sz w:val="32"/>
          <w:szCs w:val="32"/>
        </w:rPr>
        <w:t>路</w:t>
      </w:r>
      <w:r w:rsidRPr="00CC0AF5">
        <w:rPr>
          <w:rFonts w:ascii="Times New Roman" w:eastAsia="方正仿宋简体" w:hAnsi="Times New Roman"/>
          <w:sz w:val="32"/>
          <w:szCs w:val="32"/>
        </w:rPr>
        <w:t>+</w:t>
      </w:r>
      <w:r w:rsidRPr="00CC0AF5">
        <w:rPr>
          <w:rFonts w:ascii="方正仿宋简体" w:eastAsia="方正仿宋简体" w:hAnsi="Times New Roman" w:hint="eastAsia"/>
          <w:sz w:val="32"/>
          <w:szCs w:val="32"/>
        </w:rPr>
        <w:t xml:space="preserve">城市主次支路四级路网系统，实现规划区内外交通的串联。详见如下： 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仿宋简体" w:eastAsia="方正仿宋简体" w:hAnsi="Times New Roman" w:hint="eastAsia"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对外交通：</w:t>
      </w:r>
    </w:p>
    <w:p w:rsidR="00277A4B" w:rsidRPr="00CC0AF5" w:rsidRDefault="00277A4B" w:rsidP="00277A4B">
      <w:pPr>
        <w:numPr>
          <w:ilvl w:val="0"/>
          <w:numId w:val="4"/>
        </w:numPr>
        <w:spacing w:line="560" w:lineRule="exact"/>
        <w:ind w:firstLine="640"/>
        <w:rPr>
          <w:rFonts w:ascii="Times New Roman" w:eastAsia="方正仿宋简体" w:hAnsi="Times New Roman"/>
          <w:sz w:val="32"/>
          <w:szCs w:val="32"/>
        </w:rPr>
      </w:pPr>
      <w:proofErr w:type="gramStart"/>
      <w:r w:rsidRPr="00CC0AF5">
        <w:rPr>
          <w:rFonts w:ascii="方正仿宋简体" w:eastAsia="方正仿宋简体" w:hAnsi="Times New Roman" w:hint="eastAsia"/>
          <w:sz w:val="32"/>
          <w:szCs w:val="32"/>
        </w:rPr>
        <w:t>广巴达</w:t>
      </w:r>
      <w:proofErr w:type="gramEnd"/>
      <w:r w:rsidRPr="00CC0AF5">
        <w:rPr>
          <w:rFonts w:ascii="方正仿宋简体" w:eastAsia="方正仿宋简体" w:hAnsi="Times New Roman" w:hint="eastAsia"/>
          <w:sz w:val="32"/>
          <w:szCs w:val="32"/>
        </w:rPr>
        <w:t>铁路</w:t>
      </w:r>
    </w:p>
    <w:p w:rsidR="00277A4B" w:rsidRPr="00CC0AF5" w:rsidRDefault="00277A4B" w:rsidP="00277A4B">
      <w:pPr>
        <w:numPr>
          <w:ilvl w:val="0"/>
          <w:numId w:val="4"/>
        </w:numPr>
        <w:spacing w:line="560" w:lineRule="exact"/>
        <w:ind w:firstLineChars="200" w:firstLine="640"/>
        <w:rPr>
          <w:rFonts w:ascii="Times New Roman" w:eastAsia="方正仿宋简体" w:hAnsi="Times New Roman"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曾口至兴文快速路</w:t>
      </w:r>
    </w:p>
    <w:tbl>
      <w:tblPr>
        <w:tblW w:w="8139" w:type="dxa"/>
        <w:tblInd w:w="640" w:type="dxa"/>
        <w:tblLook w:val="0000" w:firstRow="0" w:lastRow="0" w:firstColumn="0" w:lastColumn="0" w:noHBand="0" w:noVBand="0"/>
      </w:tblPr>
      <w:tblGrid>
        <w:gridCol w:w="8622"/>
      </w:tblGrid>
      <w:tr w:rsidR="00277A4B" w:rsidRPr="00CC0AF5" w:rsidTr="00225A56">
        <w:trPr>
          <w:trHeight w:val="7725"/>
        </w:trPr>
        <w:tc>
          <w:tcPr>
            <w:tcW w:w="865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8400"/>
            </w:tblGrid>
            <w:tr w:rsidR="00277A4B" w:rsidRPr="00CC0AF5" w:rsidTr="00225A56">
              <w:trPr>
                <w:gridAfter w:val="1"/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277A4B" w:rsidRPr="00CC0AF5" w:rsidRDefault="00277A4B" w:rsidP="00225A56">
                  <w:pPr>
                    <w:jc w:val="left"/>
                    <w:rPr>
                      <w:rFonts w:ascii="Times New Roman" w:eastAsia="方正小标宋_GBK" w:hAnsi="Times New Roman"/>
                      <w:szCs w:val="21"/>
                    </w:rPr>
                  </w:pPr>
                </w:p>
              </w:tc>
            </w:tr>
            <w:tr w:rsidR="00277A4B" w:rsidRPr="00CC0AF5" w:rsidTr="00225A56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277A4B" w:rsidRPr="00CC0AF5" w:rsidRDefault="00277A4B" w:rsidP="00225A56">
                  <w:pPr>
                    <w:jc w:val="left"/>
                    <w:rPr>
                      <w:rFonts w:ascii="Times New Roman" w:eastAsia="方正小标宋_GBK" w:hAnsi="Times New Roman"/>
                      <w:szCs w:val="21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277A4B" w:rsidRPr="00CC0AF5" w:rsidRDefault="00277A4B" w:rsidP="00225A56">
                  <w:pPr>
                    <w:jc w:val="left"/>
                    <w:rPr>
                      <w:rFonts w:ascii="Times New Roman" w:eastAsia="方正小标宋_GBK" w:hAnsi="Times New Roman"/>
                      <w:szCs w:val="21"/>
                    </w:rPr>
                  </w:pPr>
                  <w:r>
                    <w:rPr>
                      <w:rFonts w:ascii="Times New Roman" w:eastAsia="方正小标宋_GBK" w:hAnsi="Times New Roman"/>
                      <w:noProof/>
                      <w:szCs w:val="21"/>
                    </w:rPr>
                    <w:drawing>
                      <wp:inline distT="0" distB="0" distL="0" distR="0" wp14:anchorId="5AF754CD" wp14:editId="5D7D2598">
                        <wp:extent cx="5334000" cy="5210175"/>
                        <wp:effectExtent l="0" t="0" r="0" b="9525"/>
                        <wp:docPr id="12" name="图片 12" descr="wpshloFgg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wpshloFgg.jpg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4000" cy="5210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77A4B" w:rsidRPr="00CC0AF5" w:rsidRDefault="00277A4B" w:rsidP="00225A56">
            <w:pPr>
              <w:widowControl/>
              <w:spacing w:line="560" w:lineRule="exact"/>
              <w:rPr>
                <w:rFonts w:ascii="方正仿宋简体" w:eastAsia="方正仿宋简体" w:hAnsi="Times New Roman" w:hint="eastAsia"/>
                <w:sz w:val="32"/>
                <w:szCs w:val="32"/>
              </w:rPr>
            </w:pPr>
          </w:p>
        </w:tc>
      </w:tr>
    </w:tbl>
    <w:p w:rsidR="00277A4B" w:rsidRPr="00CC0AF5" w:rsidRDefault="00277A4B" w:rsidP="00277A4B">
      <w:pPr>
        <w:numPr>
          <w:ilvl w:val="0"/>
          <w:numId w:val="4"/>
        </w:numPr>
        <w:spacing w:line="560" w:lineRule="exact"/>
        <w:ind w:firstLine="640"/>
        <w:rPr>
          <w:rFonts w:ascii="Times New Roman" w:eastAsia="方正仿宋简体" w:hAnsi="Times New Roman"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曾口至兴文石墨产业</w:t>
      </w:r>
      <w:proofErr w:type="gramStart"/>
      <w:r w:rsidRPr="00CC0AF5">
        <w:rPr>
          <w:rFonts w:ascii="方正仿宋简体" w:eastAsia="方正仿宋简体" w:hAnsi="Times New Roman" w:hint="eastAsia"/>
          <w:sz w:val="32"/>
          <w:szCs w:val="32"/>
        </w:rPr>
        <w:t>园快速</w:t>
      </w:r>
      <w:proofErr w:type="gramEnd"/>
      <w:r w:rsidRPr="00CC0AF5">
        <w:rPr>
          <w:rFonts w:ascii="方正仿宋简体" w:eastAsia="方正仿宋简体" w:hAnsi="Times New Roman" w:hint="eastAsia"/>
          <w:sz w:val="32"/>
          <w:szCs w:val="32"/>
        </w:rPr>
        <w:t>路</w:t>
      </w:r>
    </w:p>
    <w:tbl>
      <w:tblPr>
        <w:tblW w:w="7931" w:type="dxa"/>
        <w:tblInd w:w="640" w:type="dxa"/>
        <w:tblLook w:val="0000" w:firstRow="0" w:lastRow="0" w:firstColumn="0" w:lastColumn="0" w:noHBand="0" w:noVBand="0"/>
      </w:tblPr>
      <w:tblGrid>
        <w:gridCol w:w="7962"/>
      </w:tblGrid>
      <w:tr w:rsidR="00277A4B" w:rsidRPr="00CC0AF5" w:rsidTr="00225A56">
        <w:trPr>
          <w:trHeight w:val="8018"/>
        </w:trPr>
        <w:tc>
          <w:tcPr>
            <w:tcW w:w="799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7740"/>
            </w:tblGrid>
            <w:tr w:rsidR="00277A4B" w:rsidRPr="00CC0AF5" w:rsidTr="00225A56">
              <w:trPr>
                <w:gridAfter w:val="1"/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277A4B" w:rsidRPr="00CC0AF5" w:rsidRDefault="00277A4B" w:rsidP="00225A56">
                  <w:pPr>
                    <w:jc w:val="left"/>
                    <w:rPr>
                      <w:rFonts w:ascii="Times New Roman" w:eastAsia="方正小标宋_GBK" w:hAnsi="Times New Roman"/>
                      <w:szCs w:val="21"/>
                    </w:rPr>
                  </w:pPr>
                </w:p>
              </w:tc>
            </w:tr>
            <w:tr w:rsidR="00277A4B" w:rsidRPr="00CC0AF5" w:rsidTr="00225A56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277A4B" w:rsidRPr="00CC0AF5" w:rsidRDefault="00277A4B" w:rsidP="00225A56">
                  <w:pPr>
                    <w:jc w:val="left"/>
                    <w:rPr>
                      <w:rFonts w:ascii="Times New Roman" w:eastAsia="方正小标宋_GBK" w:hAnsi="Times New Roman"/>
                      <w:szCs w:val="21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277A4B" w:rsidRPr="00CC0AF5" w:rsidRDefault="00277A4B" w:rsidP="00225A56">
                  <w:pPr>
                    <w:jc w:val="left"/>
                    <w:rPr>
                      <w:rFonts w:ascii="Times New Roman" w:eastAsia="方正小标宋_GBK" w:hAnsi="Times New Roman"/>
                      <w:szCs w:val="21"/>
                    </w:rPr>
                  </w:pPr>
                  <w:r>
                    <w:rPr>
                      <w:rFonts w:ascii="Times New Roman" w:eastAsia="方正小标宋_GBK" w:hAnsi="Times New Roman"/>
                      <w:noProof/>
                      <w:szCs w:val="21"/>
                    </w:rPr>
                    <w:drawing>
                      <wp:inline distT="0" distB="0" distL="0" distR="0" wp14:anchorId="161DF3FF" wp14:editId="16263DEE">
                        <wp:extent cx="4914900" cy="5200650"/>
                        <wp:effectExtent l="0" t="0" r="0" b="0"/>
                        <wp:docPr id="11" name="图片 11" descr="wpsYjcEtX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wpsYjcEtX.jpg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14900" cy="5200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77A4B" w:rsidRPr="00CC0AF5" w:rsidRDefault="00277A4B" w:rsidP="00225A56">
            <w:pPr>
              <w:widowControl/>
              <w:spacing w:line="560" w:lineRule="exact"/>
              <w:rPr>
                <w:rFonts w:ascii="方正仿宋简体" w:eastAsia="方正仿宋简体" w:hAnsi="Times New Roman" w:hint="eastAsia"/>
                <w:sz w:val="32"/>
                <w:szCs w:val="32"/>
              </w:rPr>
            </w:pPr>
          </w:p>
        </w:tc>
      </w:tr>
    </w:tbl>
    <w:p w:rsidR="00277A4B" w:rsidRPr="00CC0AF5" w:rsidRDefault="00277A4B" w:rsidP="00277A4B">
      <w:pPr>
        <w:numPr>
          <w:ilvl w:val="0"/>
          <w:numId w:val="4"/>
        </w:numPr>
        <w:spacing w:line="560" w:lineRule="exact"/>
        <w:ind w:firstLine="640"/>
        <w:rPr>
          <w:rFonts w:ascii="Times New Roman" w:eastAsia="方正仿宋简体" w:hAnsi="Times New Roman"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曾口至清江快速路</w:t>
      </w:r>
    </w:p>
    <w:tbl>
      <w:tblPr>
        <w:tblW w:w="8032" w:type="dxa"/>
        <w:tblInd w:w="640" w:type="dxa"/>
        <w:tblLook w:val="0000" w:firstRow="0" w:lastRow="0" w:firstColumn="0" w:lastColumn="0" w:noHBand="0" w:noVBand="0"/>
      </w:tblPr>
      <w:tblGrid>
        <w:gridCol w:w="8232"/>
      </w:tblGrid>
      <w:tr w:rsidR="00277A4B" w:rsidRPr="00CC0AF5" w:rsidTr="00225A56">
        <w:trPr>
          <w:trHeight w:val="8317"/>
        </w:trPr>
        <w:tc>
          <w:tcPr>
            <w:tcW w:w="8269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"/>
              <w:gridCol w:w="8010"/>
            </w:tblGrid>
            <w:tr w:rsidR="00277A4B" w:rsidRPr="00CC0AF5" w:rsidTr="00225A56">
              <w:trPr>
                <w:gridAfter w:val="1"/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277A4B" w:rsidRPr="00CC0AF5" w:rsidRDefault="00277A4B" w:rsidP="00225A56">
                  <w:pPr>
                    <w:jc w:val="left"/>
                    <w:rPr>
                      <w:rFonts w:ascii="Times New Roman" w:eastAsia="方正小标宋_GBK" w:hAnsi="Times New Roman"/>
                      <w:szCs w:val="21"/>
                    </w:rPr>
                  </w:pPr>
                </w:p>
              </w:tc>
            </w:tr>
            <w:tr w:rsidR="00277A4B" w:rsidRPr="00CC0AF5" w:rsidTr="00225A56">
              <w:trPr>
                <w:tblCellSpacing w:w="0" w:type="dxa"/>
              </w:trPr>
              <w:tc>
                <w:tcPr>
                  <w:tcW w:w="0" w:type="auto"/>
                  <w:vAlign w:val="center"/>
                </w:tcPr>
                <w:p w:rsidR="00277A4B" w:rsidRPr="00CC0AF5" w:rsidRDefault="00277A4B" w:rsidP="00225A56">
                  <w:pPr>
                    <w:jc w:val="left"/>
                    <w:rPr>
                      <w:rFonts w:ascii="Times New Roman" w:eastAsia="方正小标宋_GBK" w:hAnsi="Times New Roman"/>
                      <w:szCs w:val="21"/>
                    </w:rPr>
                  </w:pPr>
                </w:p>
              </w:tc>
              <w:tc>
                <w:tcPr>
                  <w:tcW w:w="0" w:type="auto"/>
                  <w:vAlign w:val="center"/>
                </w:tcPr>
                <w:p w:rsidR="00277A4B" w:rsidRPr="00CC0AF5" w:rsidRDefault="00277A4B" w:rsidP="00225A56">
                  <w:pPr>
                    <w:jc w:val="left"/>
                    <w:rPr>
                      <w:rFonts w:ascii="Times New Roman" w:eastAsia="方正小标宋_GBK" w:hAnsi="Times New Roman"/>
                      <w:szCs w:val="21"/>
                    </w:rPr>
                  </w:pPr>
                  <w:r>
                    <w:rPr>
                      <w:rFonts w:ascii="Times New Roman" w:eastAsia="方正小标宋_GBK" w:hAnsi="Times New Roman"/>
                      <w:noProof/>
                      <w:szCs w:val="21"/>
                    </w:rPr>
                    <w:drawing>
                      <wp:inline distT="0" distB="0" distL="0" distR="0" wp14:anchorId="0EA48D56" wp14:editId="59CED736">
                        <wp:extent cx="5086350" cy="5133975"/>
                        <wp:effectExtent l="0" t="0" r="0" b="9525"/>
                        <wp:docPr id="10" name="图片 10" descr="wpsZGR6JE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wpsZGR6JE.jpg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86350" cy="513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277A4B" w:rsidRPr="00CC0AF5" w:rsidRDefault="00277A4B" w:rsidP="00225A56">
            <w:pPr>
              <w:widowControl/>
              <w:spacing w:line="560" w:lineRule="exact"/>
              <w:rPr>
                <w:rFonts w:ascii="方正仿宋简体" w:eastAsia="方正仿宋简体" w:hAnsi="Times New Roman" w:hint="eastAsia"/>
                <w:sz w:val="32"/>
                <w:szCs w:val="32"/>
              </w:rPr>
            </w:pPr>
          </w:p>
        </w:tc>
      </w:tr>
    </w:tbl>
    <w:p w:rsidR="00277A4B" w:rsidRPr="00CC0AF5" w:rsidRDefault="00277A4B" w:rsidP="00277A4B">
      <w:pPr>
        <w:spacing w:line="560" w:lineRule="exact"/>
        <w:ind w:left="640"/>
        <w:rPr>
          <w:rFonts w:ascii="方正仿宋简体" w:eastAsia="方正仿宋简体" w:hAnsi="Times New Roman" w:hint="eastAsia"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主干路：</w:t>
      </w:r>
    </w:p>
    <w:p w:rsidR="00277A4B" w:rsidRPr="00CC0AF5" w:rsidRDefault="00277A4B" w:rsidP="00277A4B">
      <w:pPr>
        <w:numPr>
          <w:ilvl w:val="0"/>
          <w:numId w:val="5"/>
        </w:numPr>
        <w:spacing w:line="560" w:lineRule="exact"/>
        <w:ind w:firstLine="640"/>
        <w:rPr>
          <w:rFonts w:ascii="方正仿宋简体" w:eastAsia="方正仿宋简体" w:hAnsi="Times New Roman" w:hint="eastAsia"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新材大道：道路红线宽度</w:t>
      </w:r>
      <w:r w:rsidRPr="00CC0AF5">
        <w:rPr>
          <w:rFonts w:ascii="Times New Roman" w:eastAsia="方正仿宋简体" w:hAnsi="Times New Roman"/>
          <w:sz w:val="32"/>
          <w:szCs w:val="32"/>
        </w:rPr>
        <w:t>32</w:t>
      </w:r>
      <w:r w:rsidRPr="00CC0AF5">
        <w:rPr>
          <w:rFonts w:ascii="方正仿宋简体" w:eastAsia="方正仿宋简体" w:hAnsi="Times New Roman" w:hint="eastAsia"/>
          <w:sz w:val="32"/>
          <w:szCs w:val="32"/>
        </w:rPr>
        <w:t>米；</w:t>
      </w:r>
    </w:p>
    <w:p w:rsidR="00277A4B" w:rsidRPr="00CC0AF5" w:rsidRDefault="00277A4B" w:rsidP="00277A4B">
      <w:pPr>
        <w:numPr>
          <w:ilvl w:val="0"/>
          <w:numId w:val="5"/>
        </w:numPr>
        <w:spacing w:line="560" w:lineRule="exact"/>
        <w:ind w:firstLine="640"/>
        <w:rPr>
          <w:rFonts w:ascii="Times New Roman" w:eastAsia="方正仿宋简体" w:hAnsi="Times New Roman"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新源大道：道路红线宽度</w:t>
      </w:r>
      <w:r w:rsidRPr="00CC0AF5">
        <w:rPr>
          <w:rFonts w:ascii="Times New Roman" w:eastAsia="方正仿宋简体" w:hAnsi="Times New Roman"/>
          <w:sz w:val="32"/>
          <w:szCs w:val="32"/>
        </w:rPr>
        <w:t>32</w:t>
      </w:r>
      <w:r w:rsidRPr="00CC0AF5">
        <w:rPr>
          <w:rFonts w:ascii="方正仿宋简体" w:eastAsia="方正仿宋简体" w:hAnsi="Times New Roman" w:hint="eastAsia"/>
          <w:sz w:val="32"/>
          <w:szCs w:val="32"/>
        </w:rPr>
        <w:t>米。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仿宋简体" w:eastAsia="方正仿宋简体" w:hAnsi="Times New Roman" w:hint="eastAsia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次干路：</w:t>
      </w:r>
    </w:p>
    <w:p w:rsidR="00277A4B" w:rsidRPr="00CC0AF5" w:rsidRDefault="00277A4B" w:rsidP="00277A4B">
      <w:pPr>
        <w:spacing w:line="560" w:lineRule="exact"/>
        <w:ind w:left="640"/>
        <w:rPr>
          <w:rFonts w:ascii="Times New Roman" w:eastAsia="方正仿宋简体" w:hAnsi="Times New Roman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道路红线宽度</w:t>
      </w:r>
      <w:r w:rsidRPr="00CC0AF5">
        <w:rPr>
          <w:rFonts w:ascii="Times New Roman" w:eastAsia="方正仿宋简体" w:hAnsi="Times New Roman"/>
          <w:sz w:val="32"/>
          <w:szCs w:val="32"/>
        </w:rPr>
        <w:t>24</w:t>
      </w:r>
      <w:r w:rsidRPr="00CC0AF5">
        <w:rPr>
          <w:rFonts w:ascii="方正仿宋简体" w:eastAsia="方正仿宋简体" w:hAnsi="Times New Roman" w:hint="eastAsia"/>
          <w:sz w:val="32"/>
          <w:szCs w:val="32"/>
        </w:rPr>
        <w:t>米。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Times New Roman" w:eastAsia="方正仿宋简体" w:hAnsi="Times New Roman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支路：</w:t>
      </w:r>
    </w:p>
    <w:p w:rsidR="00277A4B" w:rsidRPr="00CC0AF5" w:rsidRDefault="00277A4B" w:rsidP="00277A4B">
      <w:pPr>
        <w:spacing w:line="560" w:lineRule="exact"/>
        <w:ind w:left="640"/>
        <w:rPr>
          <w:rFonts w:ascii="Times New Roman" w:eastAsia="方正仿宋简体" w:hAnsi="Times New Roman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道路红线宽度</w:t>
      </w:r>
      <w:r w:rsidRPr="00CC0AF5">
        <w:rPr>
          <w:rFonts w:ascii="Times New Roman" w:eastAsia="方正仿宋简体" w:hAnsi="Times New Roman"/>
          <w:sz w:val="32"/>
          <w:szCs w:val="32"/>
        </w:rPr>
        <w:t>18</w:t>
      </w:r>
      <w:r w:rsidRPr="00CC0AF5">
        <w:rPr>
          <w:rFonts w:ascii="方正仿宋简体" w:eastAsia="方正仿宋简体" w:hAnsi="Times New Roman" w:hint="eastAsia"/>
          <w:sz w:val="32"/>
          <w:szCs w:val="32"/>
        </w:rPr>
        <w:t>米。</w:t>
      </w:r>
    </w:p>
    <w:tbl>
      <w:tblPr>
        <w:tblW w:w="8623" w:type="dxa"/>
        <w:tblLook w:val="0000" w:firstRow="0" w:lastRow="0" w:firstColumn="0" w:lastColumn="0" w:noHBand="0" w:noVBand="0"/>
      </w:tblPr>
      <w:tblGrid>
        <w:gridCol w:w="8623"/>
      </w:tblGrid>
      <w:tr w:rsidR="00277A4B" w:rsidRPr="00CC0AF5" w:rsidTr="00225A56">
        <w:trPr>
          <w:trHeight w:val="7349"/>
        </w:trPr>
        <w:tc>
          <w:tcPr>
            <w:tcW w:w="862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77A4B" w:rsidRPr="00CC0AF5" w:rsidRDefault="00277A4B" w:rsidP="00225A56">
            <w:pPr>
              <w:widowControl/>
              <w:spacing w:line="360" w:lineRule="auto"/>
              <w:jc w:val="center"/>
              <w:rPr>
                <w:rFonts w:ascii="方正仿宋简体" w:eastAsia="方正仿宋简体" w:hAnsi="Times New Roman" w:hint="eastAsia"/>
                <w:bCs/>
                <w:sz w:val="32"/>
                <w:szCs w:val="32"/>
              </w:rPr>
            </w:pPr>
            <w:r>
              <w:rPr>
                <w:rFonts w:ascii="方正仿宋简体" w:eastAsia="方正仿宋简体" w:hAnsi="Times New Roman"/>
                <w:bCs/>
                <w:noProof/>
                <w:sz w:val="32"/>
                <w:szCs w:val="32"/>
              </w:rPr>
              <w:lastRenderedPageBreak/>
              <w:drawing>
                <wp:inline distT="0" distB="0" distL="0" distR="0" wp14:anchorId="36B3B3AF" wp14:editId="27011E50">
                  <wp:extent cx="5276850" cy="7458075"/>
                  <wp:effectExtent l="0" t="0" r="0" b="9525"/>
                  <wp:docPr id="9" name="图片 9" descr="wps0HnSZk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wps0HnSZk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745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7A4B" w:rsidRPr="00CC0AF5" w:rsidRDefault="00277A4B" w:rsidP="00277A4B">
      <w:pPr>
        <w:numPr>
          <w:ilvl w:val="0"/>
          <w:numId w:val="6"/>
        </w:numPr>
        <w:spacing w:line="560" w:lineRule="exact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公共交通系统规划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仿宋简体" w:eastAsia="方正仿宋简体" w:hAnsi="Times New Roman" w:hint="eastAsia"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sz w:val="32"/>
          <w:szCs w:val="32"/>
        </w:rPr>
        <w:t>规划交通枢纽用地面积</w:t>
      </w:r>
      <w:r w:rsidRPr="00CC0AF5">
        <w:rPr>
          <w:rFonts w:ascii="Times New Roman" w:eastAsia="方正仿宋简体" w:hAnsi="Times New Roman"/>
          <w:sz w:val="32"/>
          <w:szCs w:val="32"/>
        </w:rPr>
        <w:t>83.70</w:t>
      </w:r>
      <w:r w:rsidRPr="00CC0AF5">
        <w:rPr>
          <w:rFonts w:ascii="方正仿宋简体" w:eastAsia="方正仿宋简体" w:hAnsi="Times New Roman" w:hint="eastAsia"/>
          <w:sz w:val="32"/>
          <w:szCs w:val="32"/>
        </w:rPr>
        <w:t>公顷，规划社会停车场用地面积</w:t>
      </w:r>
      <w:r w:rsidRPr="00CC0AF5">
        <w:rPr>
          <w:rFonts w:ascii="Times New Roman" w:eastAsia="方正仿宋简体" w:hAnsi="Times New Roman"/>
          <w:sz w:val="32"/>
          <w:szCs w:val="32"/>
        </w:rPr>
        <w:t>0.25</w:t>
      </w:r>
      <w:r w:rsidRPr="00CC0AF5">
        <w:rPr>
          <w:rFonts w:ascii="方正仿宋简体" w:eastAsia="方正仿宋简体" w:hAnsi="Times New Roman" w:hint="eastAsia"/>
          <w:sz w:val="32"/>
          <w:szCs w:val="32"/>
        </w:rPr>
        <w:t>公顷。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黑体_GBK" w:eastAsia="方正黑体_GBK" w:hAnsi="Times New Roman" w:hint="eastAsia"/>
          <w:bCs/>
          <w:sz w:val="32"/>
          <w:szCs w:val="32"/>
        </w:rPr>
      </w:pPr>
      <w:r w:rsidRPr="00CC0AF5">
        <w:rPr>
          <w:rFonts w:ascii="方正黑体_GBK" w:eastAsia="方正黑体_GBK" w:hAnsi="Times New Roman" w:hint="eastAsia"/>
          <w:bCs/>
          <w:sz w:val="32"/>
          <w:szCs w:val="32"/>
        </w:rPr>
        <w:lastRenderedPageBreak/>
        <w:t>六、公共开放空间系统规划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1. 绿地系统规划</w:t>
      </w:r>
    </w:p>
    <w:p w:rsidR="00277A4B" w:rsidRPr="00CC0AF5" w:rsidRDefault="00277A4B" w:rsidP="00277A4B">
      <w:pPr>
        <w:spacing w:line="560" w:lineRule="exact"/>
        <w:ind w:firstLineChars="225" w:firstLine="720"/>
        <w:rPr>
          <w:rFonts w:ascii="Times New Roman" w:eastAsia="方正仿宋简体" w:hAnsi="Times New Roman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规划绿地与广场用地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111.95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公顷，占城市建设用地的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13.87%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，其中公园绿地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96.85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公顷，防护绿地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15.10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公顷。</w:t>
      </w:r>
    </w:p>
    <w:p w:rsidR="00277A4B" w:rsidRPr="00CC0AF5" w:rsidRDefault="00277A4B" w:rsidP="00277A4B">
      <w:pPr>
        <w:spacing w:line="560" w:lineRule="exact"/>
        <w:ind w:firstLineChars="225" w:firstLine="720"/>
        <w:rPr>
          <w:rFonts w:ascii="方正仿宋简体" w:eastAsia="方正仿宋简体" w:hAnsi="Times New Roman" w:hint="eastAsia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规划区绿地系统由滨水绿带、片区公园、防护绿地组成。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（1）滨水绿带</w:t>
      </w:r>
    </w:p>
    <w:p w:rsidR="00277A4B" w:rsidRPr="00CC0AF5" w:rsidRDefault="00277A4B" w:rsidP="00277A4B">
      <w:pPr>
        <w:spacing w:line="560" w:lineRule="exact"/>
        <w:ind w:firstLineChars="225" w:firstLine="720"/>
        <w:rPr>
          <w:rFonts w:ascii="方正仿宋简体" w:eastAsia="方正仿宋简体" w:hAnsi="Times New Roman" w:hint="eastAsia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滨水绿带</w:t>
      </w:r>
      <w:proofErr w:type="gramStart"/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即沿巴河</w:t>
      </w:r>
      <w:proofErr w:type="gramEnd"/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生态景观渗透带，绿化形式结合岸线规划，以人工驳岸、自然驳岸、半人工驳岸为主。滨水驳岸植被以观赏性植物为主，形成由草地、灌木、乔木等组成的多层次立体化的绿化景观系统。在景观设计上可以增加雕塑、亭榭等小品的设计，塑造舒适宜人的滨河两岸绿化景观带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（2）防护绿地</w:t>
      </w:r>
    </w:p>
    <w:p w:rsidR="00277A4B" w:rsidRPr="00CC0AF5" w:rsidRDefault="00277A4B" w:rsidP="00277A4B">
      <w:pPr>
        <w:spacing w:line="560" w:lineRule="exact"/>
        <w:ind w:firstLineChars="225" w:firstLine="720"/>
        <w:rPr>
          <w:rFonts w:ascii="方正仿宋简体" w:eastAsia="方正仿宋简体" w:hAnsi="Times New Roman" w:hint="eastAsia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防护绿地即在铁路线两侧建设带状防护绿地，同时结合地形条件在高差较大区域设置块状防护绿地。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（3）片区公园</w:t>
      </w:r>
    </w:p>
    <w:p w:rsidR="00277A4B" w:rsidRPr="00CC0AF5" w:rsidRDefault="00277A4B" w:rsidP="00277A4B">
      <w:pPr>
        <w:spacing w:line="560" w:lineRule="exact"/>
        <w:ind w:firstLineChars="225" w:firstLine="720"/>
        <w:rPr>
          <w:rFonts w:ascii="方正仿宋简体" w:eastAsia="方正仿宋简体" w:hAnsi="Times New Roman" w:hint="eastAsia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片区公园主要磨盘寨公园、杨家湾公园、小燕山公园，是产业</w:t>
      </w:r>
      <w:proofErr w:type="gramStart"/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园重要</w:t>
      </w:r>
      <w:proofErr w:type="gramEnd"/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的组成部分。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黑体_GBK" w:eastAsia="方正黑体_GBK" w:hAnsi="Times New Roman" w:hint="eastAsia"/>
          <w:bCs/>
          <w:sz w:val="32"/>
          <w:szCs w:val="32"/>
        </w:rPr>
      </w:pPr>
      <w:r w:rsidRPr="00CC0AF5">
        <w:rPr>
          <w:rFonts w:ascii="方正黑体_GBK" w:eastAsia="方正黑体_GBK" w:hAnsi="Times New Roman" w:hint="eastAsia"/>
          <w:bCs/>
          <w:sz w:val="32"/>
          <w:szCs w:val="32"/>
        </w:rPr>
        <w:t>七、市政公用设施规划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1. 给水工程规划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（1）供水水源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Times New Roman" w:eastAsia="方正仿宋简体" w:hAnsi="Times New Roman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供水水源</w:t>
      </w:r>
      <w:proofErr w:type="gramStart"/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依托巴河水</w:t>
      </w:r>
      <w:proofErr w:type="gramEnd"/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，水源水质需达到《地面水环境质量标准》（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GB3838-2002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）的Ⅲ类标准。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（2）用水量预测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Times New Roman" w:eastAsia="方正仿宋简体" w:hAnsi="Times New Roman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规划区曾口片区的高日用水量为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4.88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万吨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/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日，按日变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lastRenderedPageBreak/>
        <w:t>化系数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1.3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计算，平均日用水量为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3.75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万吨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/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日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2. 排水工程规划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仿宋简体" w:eastAsia="方正仿宋简体" w:hAnsi="Times New Roman" w:hint="eastAsia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规划期末平均日污水总量为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4.0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万吨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/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日，污水集中处理率为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100%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3. 电力工程规划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（1）供电电源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Times New Roman" w:eastAsia="方正仿宋简体" w:hAnsi="Times New Roman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规划产业园区一处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220KV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变电站，规划用地面积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0.79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公顷；工业园区南部规划设置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35KV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变电站一处，用地面积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0.4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（2）电力负荷预测</w:t>
      </w:r>
    </w:p>
    <w:p w:rsidR="00277A4B" w:rsidRPr="00CC0AF5" w:rsidRDefault="00277A4B" w:rsidP="00277A4B">
      <w:pPr>
        <w:spacing w:line="360" w:lineRule="auto"/>
        <w:ind w:firstLineChars="200" w:firstLine="640"/>
        <w:rPr>
          <w:rFonts w:ascii="Times New Roman" w:eastAsia="方正仿宋简体" w:hAnsi="Times New Roman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规划范围内的用电负荷为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13.28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万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KW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，年总用电量为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8.75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亿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KWh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。年用电小时按照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5500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小时计算。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4.通信工程规划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Times New Roman" w:eastAsia="方正仿宋简体" w:hAnsi="Times New Roman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规划工业园区电信线接曾口镇电信支局，规划范围内不再新增通信设施。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5.燃气工程规划</w:t>
      </w:r>
    </w:p>
    <w:p w:rsidR="00277A4B" w:rsidRPr="00CC0AF5" w:rsidRDefault="00277A4B" w:rsidP="00277A4B">
      <w:pPr>
        <w:numPr>
          <w:ilvl w:val="0"/>
          <w:numId w:val="7"/>
        </w:num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气源及供气设施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Times New Roman" w:eastAsia="方正仿宋简体" w:hAnsi="Times New Roman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气源由中国石油化工股份有限公司供气。</w:t>
      </w:r>
    </w:p>
    <w:p w:rsidR="00277A4B" w:rsidRPr="00CC0AF5" w:rsidRDefault="00277A4B" w:rsidP="00277A4B">
      <w:pPr>
        <w:numPr>
          <w:ilvl w:val="0"/>
          <w:numId w:val="7"/>
        </w:num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用气量预测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曾口工业园区北部新建燃气配气站一座，占地面积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0.4h</w:t>
      </w:r>
      <w:r w:rsidRPr="00CC0AF5">
        <w:rPr>
          <w:rFonts w:ascii="Microsoft JhengHei" w:eastAsia="方正小标宋_GBK" w:hAnsi="Microsoft JhengHei"/>
          <w:bCs/>
          <w:sz w:val="32"/>
          <w:szCs w:val="32"/>
        </w:rPr>
        <w:t>㎡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，配气规模为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10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万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Nm3/d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。</w:t>
      </w:r>
    </w:p>
    <w:p w:rsidR="00277A4B" w:rsidRPr="00CC0AF5" w:rsidRDefault="00277A4B" w:rsidP="00277A4B">
      <w:pPr>
        <w:spacing w:line="560" w:lineRule="exact"/>
        <w:ind w:left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Times New Roman" w:eastAsia="方正仿宋简体" w:hAnsi="Times New Roman"/>
          <w:bCs/>
          <w:sz w:val="32"/>
          <w:szCs w:val="32"/>
        </w:rPr>
        <w:t>6.</w:t>
      </w: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管线综合规划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（1）管线位置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仿宋简体" w:eastAsia="方正仿宋简体" w:hAnsi="Times New Roman" w:hint="eastAsia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规划管线沿道路敷设时原则上污水管、电信管、燃气管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lastRenderedPageBreak/>
        <w:t>位于路西或路北；给水管、电力管位于路东或路南。雨水管在道路东侧或南侧道路下，两侧布置。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（2）管线布置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仿宋简体" w:eastAsia="方正仿宋简体" w:hAnsi="Times New Roman" w:hint="eastAsia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水平布置：管线距建筑物的距离由近至远的顺序依次是电信—电力—燃气—给水—污水—雨水。它们之间的最小水平</w:t>
      </w:r>
      <w:proofErr w:type="gramStart"/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净距需满足</w:t>
      </w:r>
      <w:proofErr w:type="gramEnd"/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规范要求。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仿宋简体" w:eastAsia="方正仿宋简体" w:hAnsi="Times New Roman" w:hint="eastAsia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垂直布置：工程管线交叉敷设时，自路面向下的排列顺序为：电力管、电信管、燃气管、给水管、雨水管、污水管。工程管线交叉时，相互之间的最小垂直间距需满足规范要求。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黑体_GBK" w:eastAsia="方正黑体_GBK" w:hAnsi="Times New Roman" w:hint="eastAsia"/>
          <w:bCs/>
          <w:sz w:val="32"/>
          <w:szCs w:val="32"/>
        </w:rPr>
      </w:pPr>
      <w:r w:rsidRPr="00CC0AF5">
        <w:rPr>
          <w:rFonts w:ascii="方正黑体_GBK" w:eastAsia="方正黑体_GBK" w:hAnsi="Times New Roman" w:hint="eastAsia"/>
          <w:bCs/>
          <w:sz w:val="32"/>
          <w:szCs w:val="32"/>
        </w:rPr>
        <w:t>八、环卫工程规划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仿宋简体" w:eastAsia="方正仿宋简体" w:hAnsi="Times New Roman" w:hint="eastAsia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规划区生活垃圾量按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1.0kg/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人·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d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计算，共计每日生活垃圾总量为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4.9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吨。规划要求对生活垃圾进行分类，推广垃圾袋装化，袋装收集率达到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100%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仿宋简体" w:eastAsia="方正仿宋简体" w:hAnsi="Times New Roman" w:hint="eastAsia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规划范围的生活垃圾采用集中收集，密闭式转运方式统一运送至巴中市垃圾综合处理厂进行处理，居住组团按服务半径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0.8km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设置垃圾收集点，垃圾实行袋装分类收集。规划于园区内设置小型垃圾转运站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座，用地面积为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1.02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Times New Roman" w:eastAsia="方正仿宋简体" w:hAnsi="Times New Roman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规划区内按服务半径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0.8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千米设置垃圾收集点，每一站点垃圾收集量按最小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4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吨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/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日计算。由于工业垃圾组成成份不同，集中处理难度较大，因此工业垃圾应由市环保部门统一进行管理。规划园区共设置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10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处垃圾收集点。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黑体_GBK" w:eastAsia="方正黑体_GBK" w:hAnsi="Times New Roman" w:hint="eastAsia"/>
          <w:bCs/>
          <w:sz w:val="32"/>
          <w:szCs w:val="32"/>
        </w:rPr>
      </w:pPr>
      <w:r w:rsidRPr="00CC0AF5">
        <w:rPr>
          <w:rFonts w:ascii="方正黑体_GBK" w:eastAsia="方正黑体_GBK" w:hAnsi="Times New Roman" w:hint="eastAsia"/>
          <w:bCs/>
          <w:sz w:val="32"/>
          <w:szCs w:val="32"/>
        </w:rPr>
        <w:t>九、综合防灾规划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1. 防洪排涝规划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仿宋简体" w:eastAsia="方正仿宋简体" w:hAnsi="Times New Roman" w:hint="eastAsia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巴河设防标准按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50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年一遇水位设防，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50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年一遇水位高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lastRenderedPageBreak/>
        <w:t>程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316.20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米，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100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年一遇水位高程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326.0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米，同时对经过区内的冲沟进行渠化整治作为导洪沟；由于区内地势较高，基本上不存在内涝。区域用地均高于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50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年一遇洪水淹没线。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2. 消防规划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仿宋简体" w:eastAsia="方正仿宋简体" w:hAnsi="Times New Roman" w:hint="eastAsia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规划产业园区设置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座特勤消防站，规划用地面积分别为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1.35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公顷。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方正楷体简体" w:eastAsia="方正楷体简体" w:hAnsi="Times New Roman" w:hint="eastAsia"/>
          <w:bCs/>
          <w:sz w:val="32"/>
          <w:szCs w:val="32"/>
        </w:rPr>
      </w:pPr>
      <w:r w:rsidRPr="00CC0AF5">
        <w:rPr>
          <w:rFonts w:ascii="方正楷体简体" w:eastAsia="方正楷体简体" w:hAnsi="Times New Roman" w:hint="eastAsia"/>
          <w:bCs/>
          <w:sz w:val="32"/>
          <w:szCs w:val="32"/>
        </w:rPr>
        <w:t>3. 防震减灾规划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Times New Roman" w:eastAsia="方正仿宋简体" w:hAnsi="Times New Roman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产业园区处于基本地震烈度为Ⅵ度，地震动峰值加速度为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0.05g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。新建工程建设项目需参照《建筑工程抗震设防分类标准》（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GB50223-2008)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对各类</w:t>
      </w:r>
      <w:proofErr w:type="gramStart"/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建筑做</w:t>
      </w:r>
      <w:proofErr w:type="gramEnd"/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设防类别划分，并执行《建筑抗震设计规范》（</w:t>
      </w:r>
      <w:r w:rsidRPr="00CC0AF5">
        <w:rPr>
          <w:rFonts w:ascii="Times New Roman" w:eastAsia="方正仿宋简体" w:hAnsi="Times New Roman"/>
          <w:bCs/>
          <w:sz w:val="32"/>
          <w:szCs w:val="32"/>
        </w:rPr>
        <w:t>GB50011-2010)</w:t>
      </w: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。</w:t>
      </w:r>
    </w:p>
    <w:p w:rsidR="00277A4B" w:rsidRPr="00CC0AF5" w:rsidRDefault="00277A4B" w:rsidP="00277A4B">
      <w:pPr>
        <w:spacing w:line="560" w:lineRule="exact"/>
        <w:ind w:firstLineChars="200" w:firstLine="640"/>
        <w:rPr>
          <w:rFonts w:ascii="Times New Roman" w:eastAsia="方正仿宋简体" w:hAnsi="Times New Roman"/>
          <w:bCs/>
          <w:sz w:val="32"/>
          <w:szCs w:val="32"/>
        </w:rPr>
      </w:pPr>
      <w:r w:rsidRPr="00CC0AF5">
        <w:rPr>
          <w:rFonts w:ascii="方正仿宋简体" w:eastAsia="方正仿宋简体" w:hAnsi="Times New Roman" w:hint="eastAsia"/>
          <w:bCs/>
          <w:sz w:val="32"/>
          <w:szCs w:val="32"/>
        </w:rPr>
        <w:t>规划利用建设用地内的公共绿地、广场、停车场等开阔空间作为避震疏散场所。</w:t>
      </w:r>
    </w:p>
    <w:p w:rsidR="00277A4B" w:rsidRPr="00CC0AF5" w:rsidRDefault="00277A4B" w:rsidP="00277A4B">
      <w:pPr>
        <w:rPr>
          <w:rFonts w:ascii="Times New Roman" w:eastAsia="方正小标宋_GBK" w:hAnsi="Times New Roman"/>
          <w:szCs w:val="21"/>
        </w:rPr>
      </w:pPr>
    </w:p>
    <w:p w:rsidR="00FF4E4E" w:rsidRPr="00277A4B" w:rsidRDefault="00FF4E4E">
      <w:bookmarkStart w:id="0" w:name="_GoBack"/>
      <w:bookmarkEnd w:id="0"/>
    </w:p>
    <w:sectPr w:rsidR="00FF4E4E" w:rsidRPr="00277A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34C9" w:rsidRDefault="00B334C9" w:rsidP="00277A4B">
      <w:r>
        <w:separator/>
      </w:r>
    </w:p>
  </w:endnote>
  <w:endnote w:type="continuationSeparator" w:id="0">
    <w:p w:rsidR="00B334C9" w:rsidRDefault="00B334C9" w:rsidP="00277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黑体_GBK">
    <w:altName w:val="Arial Unicode MS"/>
    <w:charset w:val="86"/>
    <w:family w:val="script"/>
    <w:pitch w:val="variable"/>
    <w:sig w:usb0="00000000" w:usb1="38CF7CFA" w:usb2="00082016" w:usb3="00000000" w:csb0="00040001" w:csb1="00000000"/>
  </w:font>
  <w:font w:name="方正楷体简体">
    <w:altName w:val="Times New Roman"/>
    <w:charset w:val="00"/>
    <w:family w:val="auto"/>
    <w:pitch w:val="variable"/>
  </w:font>
  <w:font w:name="方正仿宋简体">
    <w:altName w:val="Arial Unicode MS"/>
    <w:charset w:val="86"/>
    <w:family w:val="auto"/>
    <w:pitch w:val="variable"/>
    <w:sig w:usb0="00000000" w:usb1="080E0000" w:usb2="00000000" w:usb3="00000000" w:csb0="00040000" w:csb1="00000000"/>
  </w:font>
  <w:font w:name="方正小标宋_GBK">
    <w:altName w:val="Arial Unicode MS"/>
    <w:charset w:val="86"/>
    <w:family w:val="script"/>
    <w:pitch w:val="variable"/>
    <w:sig w:usb0="00000000" w:usb1="38CF7CFA" w:usb2="00082016" w:usb3="00000000" w:csb0="0004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34C9" w:rsidRDefault="00B334C9" w:rsidP="00277A4B">
      <w:r>
        <w:separator/>
      </w:r>
    </w:p>
  </w:footnote>
  <w:footnote w:type="continuationSeparator" w:id="0">
    <w:p w:rsidR="00B334C9" w:rsidRDefault="00B334C9" w:rsidP="00277A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E0C71A0"/>
    <w:multiLevelType w:val="multilevel"/>
    <w:tmpl w:val="36A60820"/>
    <w:lvl w:ilvl="0">
      <w:start w:val="2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1">
      <w:start w:val="2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2">
      <w:start w:val="2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3">
      <w:start w:val="2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4">
      <w:start w:val="2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5">
      <w:start w:val="2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6">
      <w:start w:val="2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7">
      <w:start w:val="2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8">
      <w:start w:val="2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</w:abstractNum>
  <w:abstractNum w:abstractNumId="1">
    <w:nsid w:val="00000001"/>
    <w:multiLevelType w:val="multilevel"/>
    <w:tmpl w:val="37B817C2"/>
    <w:lvl w:ilvl="0">
      <w:start w:val="1"/>
      <w:numFmt w:val="decimal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1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2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3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4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5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6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7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8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</w:abstractNum>
  <w:abstractNum w:abstractNumId="2">
    <w:nsid w:val="00000002"/>
    <w:multiLevelType w:val="multilevel"/>
    <w:tmpl w:val="DC6E1948"/>
    <w:lvl w:ilvl="0">
      <w:start w:val="3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1">
      <w:start w:val="3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2">
      <w:start w:val="3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3">
      <w:start w:val="3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4">
      <w:start w:val="3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5">
      <w:start w:val="3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6">
      <w:start w:val="3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7">
      <w:start w:val="3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8">
      <w:start w:val="3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</w:abstractNum>
  <w:abstractNum w:abstractNumId="3">
    <w:nsid w:val="00000003"/>
    <w:multiLevelType w:val="hybridMultilevel"/>
    <w:tmpl w:val="00000000"/>
    <w:lvl w:ilvl="0" w:tplc="FFFFFFFF">
      <w:start w:val="1"/>
      <w:numFmt w:val="bullet"/>
      <w:lvlText w:val="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1" w:tplc="FFFFFFFF">
      <w:start w:val="1"/>
      <w:numFmt w:val="bullet"/>
      <w:lvlRestart w:val="0"/>
      <w:lvlText w:val="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2" w:tplc="FFFFFFFF">
      <w:start w:val="1"/>
      <w:numFmt w:val="bullet"/>
      <w:lvlRestart w:val="0"/>
      <w:lvlText w:val="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3" w:tplc="FFFFFFFF">
      <w:start w:val="1"/>
      <w:numFmt w:val="bullet"/>
      <w:lvlRestart w:val="0"/>
      <w:lvlText w:val="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4" w:tplc="FFFFFFFF">
      <w:start w:val="1"/>
      <w:numFmt w:val="bullet"/>
      <w:lvlRestart w:val="0"/>
      <w:lvlText w:val="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5" w:tplc="FFFFFFFF">
      <w:start w:val="1"/>
      <w:numFmt w:val="bullet"/>
      <w:lvlRestart w:val="0"/>
      <w:lvlText w:val="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6" w:tplc="FFFFFFFF">
      <w:start w:val="1"/>
      <w:numFmt w:val="bullet"/>
      <w:lvlRestart w:val="0"/>
      <w:lvlText w:val="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7" w:tplc="FFFFFFFF">
      <w:start w:val="1"/>
      <w:numFmt w:val="bullet"/>
      <w:lvlRestart w:val="0"/>
      <w:lvlText w:val="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  <w:lvl w:ilvl="8" w:tplc="FFFFFFFF">
      <w:start w:val="1"/>
      <w:numFmt w:val="bullet"/>
      <w:lvlRestart w:val="0"/>
      <w:lvlText w:val=""/>
      <w:lvlJc w:val="left"/>
      <w:pPr>
        <w:tabs>
          <w:tab w:val="num" w:pos="0"/>
        </w:tabs>
        <w:ind w:left="420" w:hanging="420"/>
      </w:pPr>
      <w:rPr>
        <w:rFonts w:ascii="Wingdings" w:hAnsi="Wingdings" w:hint="default"/>
      </w:rPr>
    </w:lvl>
  </w:abstractNum>
  <w:abstractNum w:abstractNumId="4">
    <w:nsid w:val="00000004"/>
    <w:multiLevelType w:val="multilevel"/>
    <w:tmpl w:val="209EA6BE"/>
    <w:lvl w:ilvl="0">
      <w:start w:val="1"/>
      <w:numFmt w:val="decimal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1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2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3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4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5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6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7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8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</w:abstractNum>
  <w:abstractNum w:abstractNumId="5">
    <w:nsid w:val="00000005"/>
    <w:multiLevelType w:val="multilevel"/>
    <w:tmpl w:val="5AEEEBC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1">
      <w:start w:val="1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2">
      <w:start w:val="1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3">
      <w:start w:val="1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4">
      <w:start w:val="1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5">
      <w:start w:val="1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6">
      <w:start w:val="1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7">
      <w:start w:val="1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8">
      <w:start w:val="1"/>
      <w:numFmt w:val="decimal"/>
      <w:lvlRestart w:val="0"/>
      <w:suff w:val="space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</w:abstractNum>
  <w:abstractNum w:abstractNumId="6">
    <w:nsid w:val="00000006"/>
    <w:multiLevelType w:val="multilevel"/>
    <w:tmpl w:val="0DA61C5E"/>
    <w:lvl w:ilvl="0">
      <w:start w:val="1"/>
      <w:numFmt w:val="decimal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1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2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3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4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5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6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7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  <w:lvl w:ilvl="8">
      <w:start w:val="1"/>
      <w:numFmt w:val="decimal"/>
      <w:lvlRestart w:val="0"/>
      <w:suff w:val="nothing"/>
      <w:lvlText w:val="（%1）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4507"/>
    <w:rsid w:val="00277A4B"/>
    <w:rsid w:val="00383CE0"/>
    <w:rsid w:val="003C0D5C"/>
    <w:rsid w:val="00724507"/>
    <w:rsid w:val="00B334C9"/>
    <w:rsid w:val="00C36F07"/>
    <w:rsid w:val="00FF4E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4B"/>
    <w:pPr>
      <w:widowControl w:val="0"/>
      <w:jc w:val="both"/>
    </w:pPr>
    <w:rPr>
      <w:rFonts w:ascii="Calibri" w:eastAsia="宋体" w:hAnsi="Calibri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7A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77A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77A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77A4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7A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7A4B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7A4B"/>
    <w:pPr>
      <w:widowControl w:val="0"/>
      <w:jc w:val="both"/>
    </w:pPr>
    <w:rPr>
      <w:rFonts w:ascii="Calibri" w:eastAsia="宋体" w:hAnsi="Calibri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77A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77A4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77A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77A4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77A4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77A4B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1292</Words>
  <Characters>1436</Characters>
  <Application>Microsoft Office Word</Application>
  <DocSecurity>0</DocSecurity>
  <Lines>79</Lines>
  <Paragraphs>55</Paragraphs>
  <ScaleCrop>false</ScaleCrop>
  <Company/>
  <LinksUpToDate>false</LinksUpToDate>
  <CharactersWithSpaces>2673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办公室:李兵</dc:creator>
  <cp:keywords/>
  <dc:description/>
  <cp:lastModifiedBy>办公室:李兵</cp:lastModifiedBy>
  <cp:revision>2</cp:revision>
  <dcterms:created xsi:type="dcterms:W3CDTF">2021-11-26T05:49:00Z</dcterms:created>
  <dcterms:modified xsi:type="dcterms:W3CDTF">2021-11-26T05:49:00Z</dcterms:modified>
</cp:coreProperties>
</file>