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Lines="0" w:afterLines="0" w:line="576"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巴中市土地储备前期开发项目咨询服务机构</w:t>
      </w:r>
    </w:p>
    <w:p>
      <w:pPr>
        <w:pStyle w:val="4"/>
        <w:widowControl/>
        <w:spacing w:beforeLines="0" w:afterLines="0" w:line="576"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备选库管理暂行办法</w:t>
      </w:r>
    </w:p>
    <w:p>
      <w:pPr>
        <w:pStyle w:val="4"/>
        <w:widowControl/>
        <w:spacing w:beforeLines="0" w:after="0" w:afterLines="0" w:line="576" w:lineRule="exact"/>
        <w:jc w:val="center"/>
        <w:rPr>
          <w:rFonts w:hint="eastAsia" w:ascii="方正小标宋简体" w:hAnsi="方正小标宋简体" w:eastAsia="方正小标宋简体" w:cs="方正小标宋简体"/>
          <w:sz w:val="36"/>
          <w:szCs w:val="36"/>
        </w:rPr>
      </w:pPr>
      <w:bookmarkStart w:id="0" w:name="_GoBack"/>
      <w:bookmarkEnd w:id="0"/>
    </w:p>
    <w:p>
      <w:pPr>
        <w:pStyle w:val="4"/>
        <w:widowControl/>
        <w:spacing w:before="0" w:beforeLines="0" w:after="0" w:afterLines="0" w:line="576" w:lineRule="exact"/>
        <w:jc w:val="center"/>
        <w:rPr>
          <w:rFonts w:hint="eastAsia" w:ascii="楷体" w:hAnsi="楷体" w:eastAsia="楷体" w:cs="楷体"/>
          <w:b/>
          <w:bCs/>
          <w:color w:val="000000"/>
          <w:sz w:val="32"/>
          <w:szCs w:val="32"/>
        </w:rPr>
      </w:pPr>
      <w:r>
        <w:rPr>
          <w:rFonts w:hint="eastAsia" w:ascii="楷体" w:hAnsi="楷体" w:eastAsia="楷体" w:cs="楷体"/>
          <w:b/>
          <w:bCs/>
          <w:color w:val="000000"/>
          <w:sz w:val="32"/>
          <w:szCs w:val="32"/>
        </w:rPr>
        <w:t>第一章 总则</w:t>
      </w:r>
    </w:p>
    <w:p>
      <w:pPr>
        <w:pStyle w:val="4"/>
        <w:widowControl/>
        <w:spacing w:beforeLines="0" w:afterLines="0" w:line="576" w:lineRule="exact"/>
        <w:ind w:firstLine="643"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第一条</w:t>
      </w:r>
      <w:r>
        <w:rPr>
          <w:rFonts w:hint="eastAsia" w:ascii="仿宋_GB2312" w:hAnsi="仿宋_GB2312" w:eastAsia="仿宋_GB2312" w:cs="仿宋_GB2312"/>
          <w:color w:val="000000"/>
          <w:sz w:val="32"/>
          <w:szCs w:val="32"/>
        </w:rPr>
        <w:t xml:space="preserve"> 为规范和加强土地储备前期开发项目管理，提高项目工作效益，加强巴中市土地储备前期开发项目咨询服务机构备选库（以下简称备选库）的管理，根据《土地储备管理办法》、《四川省政府投资工程建设项目比选办法》等相关规定，结合我市实际，制定本办法。</w:t>
      </w:r>
    </w:p>
    <w:p>
      <w:pPr>
        <w:pStyle w:val="4"/>
        <w:widowControl/>
        <w:spacing w:beforeLines="0" w:afterLines="0" w:line="576" w:lineRule="exact"/>
        <w:ind w:firstLine="643"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第二条</w:t>
      </w:r>
      <w:r>
        <w:rPr>
          <w:rFonts w:hint="eastAsia" w:ascii="仿宋_GB2312" w:hAnsi="仿宋_GB2312" w:eastAsia="仿宋_GB2312" w:cs="仿宋_GB2312"/>
          <w:color w:val="000000"/>
          <w:sz w:val="32"/>
          <w:szCs w:val="32"/>
        </w:rPr>
        <w:t xml:space="preserve"> 备选库分别为：前期工作咨询备选库、环境影响评价咨询备选库、水土保持方案编制备选库、工程测绘备选库、工程勘察设计备选库、工程造价咨询备选库、工程监理备选库、社会稳定风险评估备选库、工程审计备选库、招标代理备选库和采购代理备选库。进入备选库的单位，必须遵守本办法。</w:t>
      </w:r>
    </w:p>
    <w:p>
      <w:pPr>
        <w:pStyle w:val="4"/>
        <w:widowControl/>
        <w:spacing w:beforeLines="0" w:afterLines="0" w:line="576" w:lineRule="exact"/>
        <w:ind w:firstLine="643"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第三条</w:t>
      </w:r>
      <w:r>
        <w:rPr>
          <w:rFonts w:hint="eastAsia" w:ascii="仿宋_GB2312" w:hAnsi="仿宋_GB2312" w:eastAsia="仿宋_GB2312" w:cs="仿宋_GB2312"/>
          <w:color w:val="000000"/>
          <w:sz w:val="32"/>
          <w:szCs w:val="32"/>
        </w:rPr>
        <w:t xml:space="preserve"> 由自然资源和规划部门组织实施的土地储备前期开发项目，符合有关规定，可以不通过招标、比选方式确定勘察、设计、施工、监理单位的，如不采取招标、比选方式确定相关服务机构，则必须在备选库中抽取确定。</w:t>
      </w:r>
    </w:p>
    <w:p>
      <w:pPr>
        <w:pStyle w:val="4"/>
        <w:widowControl/>
        <w:spacing w:before="0" w:beforeLines="0" w:after="0" w:afterLines="0" w:line="576" w:lineRule="exact"/>
        <w:ind w:firstLine="643" w:firstLineChars="200"/>
        <w:jc w:val="both"/>
        <w:rPr>
          <w:rFonts w:hint="eastAsia" w:ascii="楷体" w:hAnsi="楷体" w:eastAsia="楷体" w:cs="楷体"/>
          <w:b/>
          <w:bCs/>
          <w:color w:val="000000"/>
          <w:sz w:val="32"/>
          <w:szCs w:val="32"/>
        </w:rPr>
      </w:pPr>
      <w:r>
        <w:rPr>
          <w:rFonts w:hint="eastAsia" w:ascii="仿宋_GB2312" w:hAnsi="仿宋_GB2312" w:eastAsia="仿宋_GB2312" w:cs="仿宋_GB2312"/>
          <w:b/>
          <w:color w:val="000000"/>
          <w:sz w:val="32"/>
          <w:szCs w:val="32"/>
        </w:rPr>
        <w:t>第四条</w:t>
      </w:r>
      <w:r>
        <w:rPr>
          <w:rFonts w:hint="eastAsia" w:ascii="仿宋_GB2312" w:hAnsi="仿宋_GB2312" w:eastAsia="仿宋_GB2312" w:cs="仿宋_GB2312"/>
          <w:color w:val="000000"/>
          <w:sz w:val="32"/>
          <w:szCs w:val="32"/>
        </w:rPr>
        <w:t xml:space="preserve"> 备选库由市自然资源和规划局建立、更新和调整。市土地储备中心负责备选库建立、更新和调整的具体工作。</w:t>
      </w:r>
    </w:p>
    <w:p>
      <w:pPr>
        <w:pStyle w:val="4"/>
        <w:widowControl/>
        <w:spacing w:before="0" w:beforeLines="0" w:after="0" w:afterLines="0" w:line="576" w:lineRule="exact"/>
        <w:jc w:val="center"/>
        <w:rPr>
          <w:rFonts w:hint="eastAsia" w:ascii="楷体" w:hAnsi="楷体" w:eastAsia="楷体" w:cs="楷体"/>
          <w:b/>
          <w:bCs/>
          <w:color w:val="000000"/>
          <w:sz w:val="32"/>
          <w:szCs w:val="32"/>
        </w:rPr>
      </w:pPr>
      <w:r>
        <w:rPr>
          <w:rFonts w:hint="eastAsia" w:ascii="楷体" w:hAnsi="楷体" w:eastAsia="楷体" w:cs="楷体"/>
          <w:b/>
          <w:bCs/>
          <w:color w:val="000000"/>
          <w:sz w:val="32"/>
          <w:szCs w:val="32"/>
        </w:rPr>
        <w:t>第二章 备选库的建立</w:t>
      </w:r>
    </w:p>
    <w:p>
      <w:pPr>
        <w:pStyle w:val="4"/>
        <w:widowControl/>
        <w:spacing w:beforeLines="0" w:afterLines="0" w:line="576" w:lineRule="exact"/>
        <w:ind w:firstLine="643"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第五条</w:t>
      </w:r>
      <w:r>
        <w:rPr>
          <w:rFonts w:hint="eastAsia" w:ascii="仿宋_GB2312" w:hAnsi="仿宋_GB2312" w:eastAsia="仿宋_GB2312" w:cs="仿宋_GB2312"/>
          <w:color w:val="000000"/>
          <w:sz w:val="32"/>
          <w:szCs w:val="32"/>
        </w:rPr>
        <w:t xml:space="preserve"> 市自然资源和规划局根据全市土地储备前期开发项目工作需要，</w:t>
      </w:r>
      <w:r>
        <w:rPr>
          <w:rFonts w:hint="eastAsia" w:ascii="仿宋_GB2312" w:hAnsi="仿宋_GB2312" w:eastAsia="仿宋_GB2312" w:cs="仿宋_GB2312"/>
          <w:color w:val="000000"/>
          <w:sz w:val="32"/>
          <w:szCs w:val="32"/>
          <w:lang w:val="en-US" w:eastAsia="zh-CN"/>
        </w:rPr>
        <w:t>统筹</w:t>
      </w:r>
      <w:r>
        <w:rPr>
          <w:rFonts w:hint="eastAsia" w:ascii="仿宋_GB2312" w:hAnsi="仿宋_GB2312" w:eastAsia="仿宋_GB2312" w:cs="仿宋_GB2312"/>
          <w:color w:val="000000"/>
          <w:sz w:val="32"/>
          <w:szCs w:val="32"/>
        </w:rPr>
        <w:t>建立前期工作咨询、环境影响评价咨询、水土保持方案编制、工程测绘、工程勘察设计、工程造价咨询、工程监理、社会稳定风险评估、工程审计、招标代理和采购代理等相关备选库。建立备选库包括公告、报名、审查、入库四个阶段。</w:t>
      </w:r>
    </w:p>
    <w:p>
      <w:pPr>
        <w:pStyle w:val="4"/>
        <w:widowControl/>
        <w:spacing w:beforeLines="0" w:afterLines="0" w:line="576" w:lineRule="exact"/>
        <w:ind w:firstLine="643"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第六条</w:t>
      </w:r>
      <w:r>
        <w:rPr>
          <w:rFonts w:hint="eastAsia" w:ascii="仿宋_GB2312" w:hAnsi="仿宋_GB2312" w:eastAsia="仿宋_GB2312" w:cs="仿宋_GB2312"/>
          <w:color w:val="000000"/>
          <w:sz w:val="32"/>
          <w:szCs w:val="32"/>
        </w:rPr>
        <w:t xml:space="preserve"> 建立备选库的公告须明确备选库的作用、入库资格条件、报名材料、报名时间及地点等内容，并应在巴中市自然资源和规划局官方网站发布。</w:t>
      </w:r>
    </w:p>
    <w:p>
      <w:pPr>
        <w:pStyle w:val="4"/>
        <w:widowControl/>
        <w:spacing w:beforeLines="0" w:afterLines="0" w:line="576"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市土地储备中心负责备选库建立公告的起草，市自然资源和规划局项目文本审查小组负责审核，市自然资源和规划局办公室负责公告的上网发布。</w:t>
      </w:r>
    </w:p>
    <w:p>
      <w:pPr>
        <w:pStyle w:val="4"/>
        <w:widowControl/>
        <w:spacing w:beforeLines="0" w:afterLines="0" w:line="576" w:lineRule="exact"/>
        <w:ind w:firstLine="643"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第七条</w:t>
      </w:r>
      <w:r>
        <w:rPr>
          <w:rFonts w:hint="eastAsia" w:ascii="仿宋_GB2312" w:hAnsi="仿宋_GB2312" w:eastAsia="仿宋_GB2312" w:cs="仿宋_GB2312"/>
          <w:color w:val="000000"/>
          <w:sz w:val="32"/>
          <w:szCs w:val="32"/>
        </w:rPr>
        <w:t xml:space="preserve"> 市土地储备中心对在规定时间内报名的单位进行审查，确定拟入库单位名单并向社会公示。经公示后，将符合入库资格条件的单位纳入备选库。</w:t>
      </w:r>
    </w:p>
    <w:p>
      <w:pPr>
        <w:pStyle w:val="4"/>
        <w:widowControl/>
        <w:spacing w:before="0" w:beforeLines="0" w:after="0" w:afterLines="0" w:line="576" w:lineRule="exact"/>
        <w:jc w:val="center"/>
        <w:rPr>
          <w:rFonts w:hint="eastAsia" w:ascii="楷体" w:hAnsi="楷体" w:eastAsia="楷体" w:cs="楷体"/>
          <w:b/>
          <w:bCs/>
          <w:color w:val="000000"/>
          <w:sz w:val="32"/>
          <w:szCs w:val="32"/>
        </w:rPr>
      </w:pPr>
      <w:r>
        <w:rPr>
          <w:rFonts w:hint="eastAsia" w:ascii="楷体" w:hAnsi="楷体" w:eastAsia="楷体" w:cs="楷体"/>
          <w:b/>
          <w:bCs/>
          <w:color w:val="000000"/>
          <w:sz w:val="32"/>
          <w:szCs w:val="32"/>
        </w:rPr>
        <w:t>第三章 备选库的管理</w:t>
      </w:r>
    </w:p>
    <w:p>
      <w:pPr>
        <w:pStyle w:val="4"/>
        <w:widowControl/>
        <w:spacing w:beforeLines="0" w:afterLines="0" w:line="576" w:lineRule="exact"/>
        <w:ind w:firstLine="643"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第八条</w:t>
      </w:r>
      <w:r>
        <w:rPr>
          <w:rFonts w:hint="eastAsia" w:ascii="仿宋_GB2312" w:hAnsi="仿宋_GB2312" w:eastAsia="仿宋_GB2312" w:cs="仿宋_GB2312"/>
          <w:color w:val="000000"/>
          <w:sz w:val="32"/>
          <w:szCs w:val="32"/>
        </w:rPr>
        <w:t xml:space="preserve"> 备选库实行年度更新制度，入库单位自愿申请且无不良记录自动延续入库资格，审查后发现不良记录的，从出现不良记录之日起连续两年内不得再入库并不得参加巴中市本级土地储备前期开发项目咨询服务。</w:t>
      </w:r>
    </w:p>
    <w:p>
      <w:pPr>
        <w:pStyle w:val="4"/>
        <w:widowControl/>
        <w:spacing w:beforeLines="0" w:afterLines="0" w:line="576" w:lineRule="exact"/>
        <w:ind w:firstLine="643"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第九条</w:t>
      </w:r>
      <w:r>
        <w:rPr>
          <w:rFonts w:hint="eastAsia" w:ascii="仿宋_GB2312" w:hAnsi="仿宋_GB2312" w:eastAsia="仿宋_GB2312" w:cs="仿宋_GB2312"/>
          <w:color w:val="000000"/>
          <w:sz w:val="32"/>
          <w:szCs w:val="32"/>
        </w:rPr>
        <w:t xml:space="preserve"> 当备选库不能满足全市土地储备前期开发工作需要时，市自然资源和规划局可适时组织备选库更新。备选库更新工作比照建立工作相关程序开展。</w:t>
      </w:r>
    </w:p>
    <w:p>
      <w:pPr>
        <w:pStyle w:val="4"/>
        <w:widowControl/>
        <w:spacing w:beforeLines="0" w:afterLines="0" w:line="576" w:lineRule="exact"/>
        <w:ind w:firstLine="643"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 xml:space="preserve">第十条 </w:t>
      </w:r>
      <w:r>
        <w:rPr>
          <w:rFonts w:hint="eastAsia" w:ascii="仿宋_GB2312" w:hAnsi="仿宋_GB2312" w:eastAsia="仿宋_GB2312" w:cs="仿宋_GB2312"/>
          <w:color w:val="000000"/>
          <w:sz w:val="32"/>
          <w:szCs w:val="32"/>
        </w:rPr>
        <w:t>实行土地储备前期开发项目“不良信用”制度，进入“不良信用”的单位不得进入备选库。已入库的单位进入“不良信用”的，取消其备选资格，调整出备选库。</w:t>
      </w:r>
    </w:p>
    <w:p>
      <w:pPr>
        <w:pStyle w:val="4"/>
        <w:widowControl/>
        <w:spacing w:beforeLines="0" w:afterLines="0" w:line="576" w:lineRule="exact"/>
        <w:ind w:firstLine="643"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第十一条</w:t>
      </w:r>
      <w:r>
        <w:rPr>
          <w:rFonts w:hint="eastAsia" w:ascii="仿宋_GB2312" w:hAnsi="仿宋_GB2312" w:eastAsia="仿宋_GB2312" w:cs="仿宋_GB2312"/>
          <w:color w:val="000000"/>
          <w:sz w:val="32"/>
          <w:szCs w:val="32"/>
        </w:rPr>
        <w:t xml:space="preserve"> 具有下列情形之一的单位，纳入土地储备前期开发项目“不良信用”。</w:t>
      </w:r>
    </w:p>
    <w:p>
      <w:pPr>
        <w:pStyle w:val="2"/>
        <w:widowControl/>
        <w:shd w:val="clear" w:color="auto" w:fill="FFFFFF"/>
        <w:spacing w:before="0" w:beforeLines="0" w:beforeAutospacing="0" w:after="0" w:afterLines="0" w:afterAutospacing="0" w:line="576" w:lineRule="exact"/>
        <w:ind w:firstLine="640" w:firstLineChars="200"/>
        <w:jc w:val="both"/>
        <w:rPr>
          <w:rFonts w:ascii="仿宋_GB2312" w:hAnsi="仿宋_GB2312" w:eastAsia="仿宋_GB2312" w:cs="仿宋_GB2312"/>
          <w:b w:val="0"/>
          <w:color w:val="000000"/>
          <w:kern w:val="0"/>
          <w:sz w:val="32"/>
          <w:szCs w:val="32"/>
          <w:lang w:bidi="ar"/>
        </w:rPr>
      </w:pPr>
      <w:r>
        <w:rPr>
          <w:rFonts w:ascii="仿宋_GB2312" w:hAnsi="仿宋_GB2312" w:eastAsia="仿宋_GB2312" w:cs="仿宋_GB2312"/>
          <w:b w:val="0"/>
          <w:bCs/>
          <w:color w:val="000000"/>
          <w:sz w:val="32"/>
          <w:szCs w:val="32"/>
        </w:rPr>
        <w:t>（一）</w:t>
      </w:r>
      <w:r>
        <w:rPr>
          <w:rFonts w:ascii="仿宋_GB2312" w:hAnsi="仿宋_GB2312" w:eastAsia="仿宋_GB2312" w:cs="仿宋_GB2312"/>
          <w:b w:val="0"/>
          <w:color w:val="000000"/>
          <w:kern w:val="0"/>
          <w:sz w:val="32"/>
          <w:szCs w:val="32"/>
          <w:lang w:bidi="ar"/>
        </w:rPr>
        <w:t>中选的企业，无特殊原因，不得放弃中选资格。无正当理由放弃一次以上的，记入“不良信用”。</w:t>
      </w:r>
    </w:p>
    <w:p>
      <w:pPr>
        <w:pStyle w:val="4"/>
        <w:widowControl/>
        <w:spacing w:beforeLines="0" w:afterLines="0" w:line="576"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w:t>
      </w:r>
      <w:r>
        <w:rPr>
          <w:rFonts w:hint="eastAsia" w:ascii="仿宋_GB2312" w:hAnsi="仿宋_GB2312" w:eastAsia="仿宋_GB2312" w:cs="仿宋_GB2312"/>
          <w:color w:val="000000"/>
          <w:sz w:val="32"/>
          <w:szCs w:val="32"/>
          <w:lang w:bidi="ar"/>
        </w:rPr>
        <w:t>合同签订后，中选企业不认真履行合同，或者有其他违约行为的，记入“不良信用”。</w:t>
      </w:r>
    </w:p>
    <w:p>
      <w:pPr>
        <w:pStyle w:val="4"/>
        <w:widowControl/>
        <w:spacing w:beforeLines="0" w:afterLines="0" w:line="576"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（三）因弄虚作假、偷工减料或其他违法、违规行为，受到有关行政主管部门惩戒的，记入“不良信用”。</w:t>
      </w:r>
    </w:p>
    <w:p>
      <w:pPr>
        <w:pStyle w:val="4"/>
        <w:widowControl/>
        <w:spacing w:beforeLines="0" w:afterLines="0" w:line="576" w:lineRule="exact"/>
        <w:ind w:firstLine="643"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第十二条</w:t>
      </w:r>
      <w:r>
        <w:rPr>
          <w:rFonts w:hint="eastAsia" w:ascii="仿宋_GB2312" w:hAnsi="仿宋_GB2312" w:eastAsia="仿宋_GB2312" w:cs="仿宋_GB2312"/>
          <w:color w:val="000000"/>
          <w:sz w:val="32"/>
          <w:szCs w:val="32"/>
        </w:rPr>
        <w:t xml:space="preserve"> 除进入土地储备前期开发项目“不良信用”外，具有下列情形的，取消其备选资格，调整出备选库。</w:t>
      </w:r>
    </w:p>
    <w:p>
      <w:pPr>
        <w:pStyle w:val="4"/>
        <w:widowControl/>
        <w:spacing w:beforeLines="0" w:afterLines="0" w:line="576"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（一）资质证书到期，未提交延期的资质证书。</w:t>
      </w:r>
    </w:p>
    <w:p>
      <w:pPr>
        <w:pStyle w:val="4"/>
        <w:widowControl/>
        <w:spacing w:beforeLines="0" w:afterLines="0" w:line="576"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（二）法定代表人更换，未提交相关证明材料。</w:t>
      </w:r>
    </w:p>
    <w:p>
      <w:pPr>
        <w:pStyle w:val="4"/>
        <w:widowControl/>
        <w:spacing w:beforeLines="0" w:afterLines="0" w:line="576"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（三）未履行入库承诺。</w:t>
      </w:r>
    </w:p>
    <w:p>
      <w:pPr>
        <w:pStyle w:val="4"/>
        <w:widowControl/>
        <w:spacing w:beforeLines="0" w:afterLines="0" w:line="576" w:lineRule="exact"/>
        <w:ind w:firstLine="643"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第十三条</w:t>
      </w:r>
      <w:r>
        <w:rPr>
          <w:rFonts w:hint="eastAsia" w:ascii="仿宋_GB2312" w:hAnsi="仿宋_GB2312" w:eastAsia="仿宋_GB2312" w:cs="仿宋_GB2312"/>
          <w:color w:val="000000"/>
          <w:sz w:val="32"/>
          <w:szCs w:val="32"/>
        </w:rPr>
        <w:t> 除依法受到处理的情形外，入库单位退库本着自愿原则，退库时须由本企业提交书面申请。一旦退库后，两年内不得再次入库。</w:t>
      </w:r>
    </w:p>
    <w:p>
      <w:pPr>
        <w:pStyle w:val="4"/>
        <w:widowControl/>
        <w:spacing w:before="0" w:beforeLines="0" w:after="0" w:afterLines="0" w:line="576" w:lineRule="exact"/>
        <w:jc w:val="center"/>
        <w:rPr>
          <w:rFonts w:hint="eastAsia" w:ascii="仿宋_GB2312" w:hAnsi="仿宋_GB2312" w:eastAsia="仿宋_GB2312" w:cs="仿宋_GB2312"/>
          <w:b/>
          <w:bCs/>
          <w:color w:val="000000"/>
          <w:sz w:val="32"/>
          <w:szCs w:val="32"/>
        </w:rPr>
      </w:pPr>
      <w:r>
        <w:rPr>
          <w:rFonts w:hint="eastAsia" w:ascii="楷体" w:hAnsi="楷体" w:eastAsia="楷体" w:cs="楷体"/>
          <w:b/>
          <w:bCs/>
          <w:color w:val="000000"/>
          <w:sz w:val="32"/>
          <w:szCs w:val="32"/>
        </w:rPr>
        <w:t>第四章 抽取办法</w:t>
      </w:r>
    </w:p>
    <w:p>
      <w:pPr>
        <w:pStyle w:val="4"/>
        <w:widowControl/>
        <w:spacing w:beforeLines="0" w:afterLines="0" w:line="576" w:lineRule="exact"/>
        <w:ind w:firstLine="643"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 xml:space="preserve">第十四条 </w:t>
      </w:r>
      <w:r>
        <w:rPr>
          <w:rFonts w:hint="eastAsia" w:ascii="仿宋_GB2312" w:hAnsi="仿宋_GB2312" w:eastAsia="仿宋_GB2312" w:cs="仿宋_GB2312"/>
          <w:color w:val="000000"/>
          <w:sz w:val="32"/>
          <w:szCs w:val="32"/>
        </w:rPr>
        <w:t>市、县（区）市自然资源和规划局在备选库中抽取确定单位时，必须邀请市自然资源和规划局机关纪委或有关监督人员、市土地储备中心相关科室负责人参加。抽取前须明确项目规模、实施地点、发包价格、需具备的资质等级、抽取时间、地点及其他资格条件等内容，并在巴中市自然资源和规划局官网（http://zrzygh.cnbz.gov.cn/）发布抽取公告。</w:t>
      </w:r>
    </w:p>
    <w:p>
      <w:pPr>
        <w:pStyle w:val="4"/>
        <w:widowControl/>
        <w:spacing w:beforeLines="0" w:afterLines="0" w:line="576" w:lineRule="exact"/>
        <w:ind w:firstLine="643"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 xml:space="preserve">第十五条 </w:t>
      </w:r>
      <w:r>
        <w:rPr>
          <w:rFonts w:hint="eastAsia" w:ascii="仿宋_GB2312" w:hAnsi="仿宋_GB2312" w:eastAsia="仿宋_GB2312" w:cs="仿宋_GB2312"/>
          <w:color w:val="000000"/>
          <w:sz w:val="32"/>
          <w:szCs w:val="32"/>
        </w:rPr>
        <w:t>由市土地储备中心组织，在符合资格的单位中随机抽取3家单位作为中选单位。抽取规则如下：</w:t>
      </w:r>
    </w:p>
    <w:p>
      <w:pPr>
        <w:pStyle w:val="4"/>
        <w:widowControl/>
        <w:spacing w:beforeLines="0" w:afterLines="0" w:line="576"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（一）对符合本次项目抽取资格的入库单位按发布入库公告的序号进行编号。</w:t>
      </w:r>
    </w:p>
    <w:p>
      <w:pPr>
        <w:pStyle w:val="4"/>
        <w:widowControl/>
        <w:spacing w:beforeLines="0" w:afterLines="0" w:line="576"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（二）准备与入库单位数量一致的N个带有编号的材质、规格、颜色一样的乒乓球，放入全自动摇号机。</w:t>
      </w:r>
    </w:p>
    <w:p>
      <w:pPr>
        <w:pStyle w:val="4"/>
        <w:widowControl/>
        <w:spacing w:beforeLines="0" w:afterLines="0" w:line="576"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（三）在全自动摇号机中连续三次随机抽取1个乒乓球，单位编号与乒乓球编号一致的单位即为中选单位。</w:t>
      </w:r>
    </w:p>
    <w:p>
      <w:pPr>
        <w:pStyle w:val="4"/>
        <w:widowControl/>
        <w:spacing w:beforeLines="0" w:afterLines="0" w:line="576"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（四）与第1次抽取乒乓球编号一致的为中选单位一；与第2次抽取乒乓球编号一致的为中选单位二；与第3次抽取乒乓球编号一致的为中选单位三。</w:t>
      </w:r>
    </w:p>
    <w:p>
      <w:pPr>
        <w:pStyle w:val="4"/>
        <w:keepNext/>
        <w:snapToGrid w:val="0"/>
        <w:spacing w:beforeLines="0" w:afterLines="0" w:line="576"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w:t>
      </w:r>
      <w:r>
        <w:rPr>
          <w:rFonts w:hint="eastAsia" w:ascii="仿宋_GB2312" w:hAnsi="仿宋_GB2312" w:eastAsia="仿宋_GB2312" w:cs="仿宋_GB2312"/>
          <w:color w:val="000000"/>
          <w:sz w:val="32"/>
          <w:szCs w:val="32"/>
          <w:shd w:val="clear" w:color="auto" w:fill="FFFFFF"/>
        </w:rPr>
        <w:t>若中选单位一放弃中选资格，则由中选单位二及中选单位三按顺序替补。若均放弃资格，则在余下的单位中按上述规则</w:t>
      </w:r>
      <w:r>
        <w:rPr>
          <w:rFonts w:hint="eastAsia" w:ascii="仿宋_GB2312" w:hAnsi="仿宋_GB2312" w:eastAsia="仿宋_GB2312" w:cs="仿宋_GB2312"/>
          <w:color w:val="000000"/>
          <w:sz w:val="32"/>
          <w:szCs w:val="32"/>
        </w:rPr>
        <w:t>抽取</w:t>
      </w:r>
      <w:r>
        <w:rPr>
          <w:rFonts w:hint="eastAsia" w:ascii="仿宋_GB2312" w:hAnsi="仿宋_GB2312" w:eastAsia="仿宋_GB2312" w:cs="仿宋_GB2312"/>
          <w:color w:val="000000"/>
          <w:sz w:val="32"/>
          <w:szCs w:val="32"/>
          <w:shd w:val="clear" w:color="auto" w:fill="FFFFFF"/>
        </w:rPr>
        <w:t>。</w:t>
      </w:r>
    </w:p>
    <w:p>
      <w:pPr>
        <w:pStyle w:val="4"/>
        <w:widowControl/>
        <w:spacing w:beforeLines="0" w:afterLines="0" w:line="576"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（六）若全自动摇号机出现故障无法摇号，则准备一个抽选箱，按上述规则在抽选箱中抽取。</w:t>
      </w:r>
    </w:p>
    <w:p>
      <w:pPr>
        <w:pStyle w:val="4"/>
        <w:keepNext/>
        <w:snapToGrid w:val="0"/>
        <w:spacing w:beforeLines="0" w:afterLines="0" w:line="576" w:lineRule="exact"/>
        <w:ind w:firstLine="643"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lang w:bidi="ar"/>
        </w:rPr>
        <w:t>第十六条</w:t>
      </w:r>
      <w:r>
        <w:rPr>
          <w:rFonts w:hint="eastAsia" w:ascii="仿宋_GB2312" w:hAnsi="仿宋_GB2312" w:eastAsia="仿宋_GB2312" w:cs="仿宋_GB2312"/>
          <w:color w:val="000000"/>
          <w:sz w:val="32"/>
          <w:szCs w:val="32"/>
          <w:shd w:val="clear" w:color="auto" w:fill="FFFFFF"/>
        </w:rPr>
        <w:t xml:space="preserve"> </w:t>
      </w:r>
      <w:r>
        <w:rPr>
          <w:rFonts w:hint="eastAsia" w:ascii="仿宋_GB2312" w:hAnsi="仿宋_GB2312" w:eastAsia="仿宋_GB2312" w:cs="仿宋_GB2312"/>
          <w:color w:val="000000"/>
          <w:sz w:val="32"/>
          <w:szCs w:val="32"/>
        </w:rPr>
        <w:t>抽取</w:t>
      </w:r>
      <w:r>
        <w:rPr>
          <w:rFonts w:hint="eastAsia" w:ascii="仿宋_GB2312" w:hAnsi="仿宋_GB2312" w:eastAsia="仿宋_GB2312" w:cs="仿宋_GB2312"/>
          <w:color w:val="000000"/>
          <w:sz w:val="32"/>
          <w:szCs w:val="32"/>
          <w:lang w:bidi="ar"/>
        </w:rPr>
        <w:t>结束后由</w:t>
      </w:r>
      <w:r>
        <w:rPr>
          <w:rFonts w:hint="eastAsia" w:ascii="仿宋_GB2312" w:hAnsi="仿宋_GB2312" w:eastAsia="仿宋_GB2312" w:cs="仿宋_GB2312"/>
          <w:color w:val="000000"/>
          <w:sz w:val="32"/>
          <w:szCs w:val="32"/>
        </w:rPr>
        <w:t>项目业主单位</w:t>
      </w:r>
      <w:r>
        <w:rPr>
          <w:rFonts w:hint="eastAsia" w:ascii="仿宋_GB2312" w:hAnsi="仿宋_GB2312" w:eastAsia="仿宋_GB2312" w:cs="仿宋_GB2312"/>
          <w:color w:val="000000"/>
          <w:sz w:val="32"/>
          <w:szCs w:val="32"/>
          <w:lang w:bidi="ar"/>
        </w:rPr>
        <w:t>工作人员填写巴中市自然资源和规划局</w:t>
      </w:r>
      <w:r>
        <w:rPr>
          <w:rFonts w:hint="eastAsia" w:ascii="仿宋_GB2312" w:hAnsi="仿宋_GB2312" w:eastAsia="仿宋_GB2312" w:cs="仿宋_GB2312"/>
          <w:color w:val="000000"/>
          <w:sz w:val="32"/>
          <w:szCs w:val="32"/>
        </w:rPr>
        <w:t>抽取</w:t>
      </w:r>
      <w:r>
        <w:rPr>
          <w:rFonts w:hint="eastAsia" w:ascii="仿宋_GB2312" w:hAnsi="仿宋_GB2312" w:eastAsia="仿宋_GB2312" w:cs="仿宋_GB2312"/>
          <w:color w:val="000000"/>
          <w:sz w:val="32"/>
          <w:szCs w:val="32"/>
          <w:lang w:bidi="ar"/>
        </w:rPr>
        <w:t>记录表（详见附表），现场参加人员签字确认后生效。</w:t>
      </w:r>
      <w:r>
        <w:rPr>
          <w:rFonts w:hint="eastAsia" w:ascii="仿宋_GB2312" w:hAnsi="仿宋_GB2312" w:eastAsia="仿宋_GB2312" w:cs="仿宋_GB2312"/>
          <w:color w:val="000000"/>
          <w:sz w:val="32"/>
          <w:szCs w:val="32"/>
        </w:rPr>
        <w:t>抽取</w:t>
      </w:r>
      <w:r>
        <w:rPr>
          <w:rFonts w:hint="eastAsia" w:ascii="仿宋_GB2312" w:hAnsi="仿宋_GB2312" w:eastAsia="仿宋_GB2312" w:cs="仿宋_GB2312"/>
          <w:color w:val="000000"/>
          <w:sz w:val="32"/>
          <w:szCs w:val="32"/>
          <w:lang w:bidi="ar"/>
        </w:rPr>
        <w:t>结果在</w:t>
      </w:r>
      <w:r>
        <w:rPr>
          <w:rFonts w:hint="eastAsia" w:ascii="仿宋_GB2312" w:hAnsi="仿宋_GB2312" w:eastAsia="仿宋_GB2312" w:cs="仿宋_GB2312"/>
          <w:color w:val="000000"/>
          <w:sz w:val="32"/>
          <w:szCs w:val="32"/>
        </w:rPr>
        <w:t>巴中市自然资源和规划局官网（http://zrzygh.cnbz.gov.cn/）公示后，</w:t>
      </w:r>
      <w:r>
        <w:rPr>
          <w:rFonts w:hint="eastAsia" w:ascii="仿宋_GB2312" w:hAnsi="仿宋_GB2312" w:eastAsia="仿宋_GB2312" w:cs="仿宋_GB2312"/>
          <w:color w:val="000000"/>
          <w:sz w:val="32"/>
          <w:szCs w:val="32"/>
          <w:lang w:bidi="ar"/>
        </w:rPr>
        <w:t>由项目业主单位签订合同。</w:t>
      </w:r>
    </w:p>
    <w:p>
      <w:pPr>
        <w:pStyle w:val="4"/>
        <w:widowControl/>
        <w:spacing w:before="0" w:beforeLines="0" w:after="0" w:afterLines="0" w:line="576" w:lineRule="exact"/>
        <w:jc w:val="center"/>
        <w:rPr>
          <w:rFonts w:hint="eastAsia" w:ascii="楷体" w:hAnsi="楷体" w:eastAsia="楷体" w:cs="楷体"/>
          <w:color w:val="000000"/>
          <w:sz w:val="32"/>
          <w:szCs w:val="32"/>
        </w:rPr>
      </w:pPr>
      <w:r>
        <w:rPr>
          <w:rFonts w:hint="eastAsia" w:ascii="楷体" w:hAnsi="楷体" w:eastAsia="楷体" w:cs="楷体"/>
          <w:b/>
          <w:bCs/>
          <w:color w:val="000000"/>
          <w:sz w:val="32"/>
          <w:szCs w:val="32"/>
        </w:rPr>
        <w:t>第五章 责任追究</w:t>
      </w:r>
    </w:p>
    <w:p>
      <w:pPr>
        <w:pStyle w:val="4"/>
        <w:widowControl/>
        <w:spacing w:beforeLines="0" w:afterLines="0" w:line="576" w:lineRule="exact"/>
        <w:ind w:firstLine="643"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lang w:bidi="ar"/>
        </w:rPr>
        <w:t>第十七条</w:t>
      </w:r>
      <w:r>
        <w:rPr>
          <w:rFonts w:hint="eastAsia" w:ascii="仿宋_GB2312" w:hAnsi="仿宋_GB2312" w:eastAsia="仿宋_GB2312" w:cs="仿宋_GB2312"/>
          <w:b/>
          <w:color w:val="000000"/>
          <w:sz w:val="32"/>
          <w:szCs w:val="32"/>
        </w:rPr>
        <w:t xml:space="preserve"> </w:t>
      </w:r>
      <w:r>
        <w:rPr>
          <w:rFonts w:hint="eastAsia" w:ascii="仿宋_GB2312" w:hAnsi="仿宋_GB2312" w:eastAsia="仿宋_GB2312" w:cs="仿宋_GB2312"/>
          <w:color w:val="000000"/>
          <w:sz w:val="32"/>
          <w:szCs w:val="32"/>
        </w:rPr>
        <w:t>违反本办法规定，出现弄虚作假、营私舞弊等违纪违规行为的，按有关规定追究相关人员责任。</w:t>
      </w:r>
    </w:p>
    <w:p>
      <w:pPr>
        <w:pStyle w:val="4"/>
        <w:widowControl/>
        <w:spacing w:beforeLines="0" w:afterLines="0" w:line="576" w:lineRule="exact"/>
        <w:ind w:firstLine="643"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第十八条</w:t>
      </w:r>
      <w:r>
        <w:rPr>
          <w:rFonts w:hint="eastAsia" w:ascii="仿宋_GB2312" w:hAnsi="仿宋_GB2312" w:eastAsia="仿宋_GB2312" w:cs="仿宋_GB2312"/>
          <w:color w:val="000000"/>
          <w:sz w:val="32"/>
          <w:szCs w:val="32"/>
        </w:rPr>
        <w:t xml:space="preserve"> 因中选单位的过失造成项目质量或者人身、财产损害事故的，应当按合同约定及法律、法规的有关规定，承担相应的民事赔偿责任。涉嫌犯罪的，按照有关法律、行政法规规定移送司法机关追究刑事责任。</w:t>
      </w:r>
    </w:p>
    <w:p>
      <w:pPr>
        <w:pStyle w:val="4"/>
        <w:widowControl/>
        <w:spacing w:before="0" w:beforeLines="0" w:after="0" w:afterLines="0" w:line="576" w:lineRule="exact"/>
        <w:jc w:val="center"/>
        <w:rPr>
          <w:rFonts w:hint="eastAsia" w:ascii="楷体" w:hAnsi="楷体" w:eastAsia="楷体" w:cs="楷体"/>
          <w:b/>
          <w:bCs/>
          <w:color w:val="000000"/>
          <w:sz w:val="32"/>
          <w:szCs w:val="32"/>
        </w:rPr>
      </w:pPr>
      <w:r>
        <w:rPr>
          <w:rFonts w:hint="eastAsia" w:ascii="楷体" w:hAnsi="楷体" w:eastAsia="楷体" w:cs="楷体"/>
          <w:b/>
          <w:bCs/>
          <w:color w:val="000000"/>
          <w:sz w:val="32"/>
          <w:szCs w:val="32"/>
        </w:rPr>
        <w:t>第六章 附则</w:t>
      </w:r>
    </w:p>
    <w:p>
      <w:pPr>
        <w:pStyle w:val="4"/>
        <w:widowControl/>
        <w:spacing w:beforeLines="0" w:afterLines="0" w:line="576" w:lineRule="exact"/>
        <w:ind w:firstLine="643"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 xml:space="preserve">第十九条 </w:t>
      </w:r>
      <w:r>
        <w:rPr>
          <w:rFonts w:hint="eastAsia" w:ascii="仿宋_GB2312" w:hAnsi="仿宋_GB2312" w:eastAsia="仿宋_GB2312" w:cs="仿宋_GB2312"/>
          <w:color w:val="000000"/>
          <w:sz w:val="32"/>
          <w:szCs w:val="32"/>
        </w:rPr>
        <w:t>国家或有关行政监督部门对本办法规定范围内项目有其它要求的，从其规定。</w:t>
      </w:r>
    </w:p>
    <w:p>
      <w:pPr>
        <w:pStyle w:val="4"/>
        <w:widowControl/>
        <w:spacing w:beforeLines="0" w:afterLines="0" w:line="576" w:lineRule="exact"/>
        <w:ind w:firstLine="643"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 xml:space="preserve">第二十条 </w:t>
      </w:r>
      <w:r>
        <w:rPr>
          <w:rFonts w:hint="eastAsia" w:ascii="仿宋_GB2312" w:hAnsi="仿宋_GB2312" w:eastAsia="仿宋_GB2312" w:cs="仿宋_GB2312"/>
          <w:color w:val="000000"/>
          <w:sz w:val="32"/>
          <w:szCs w:val="32"/>
        </w:rPr>
        <w:t>本办法由巴中市土地储备中心负责解释。</w:t>
      </w:r>
    </w:p>
    <w:p>
      <w:pPr>
        <w:pStyle w:val="4"/>
        <w:widowControl/>
        <w:spacing w:beforeLines="0" w:afterLines="0" w:line="576" w:lineRule="exact"/>
        <w:ind w:firstLine="643"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第二十一条</w:t>
      </w:r>
      <w:r>
        <w:rPr>
          <w:rFonts w:hint="eastAsia" w:ascii="仿宋_GB2312" w:hAnsi="仿宋_GB2312" w:eastAsia="仿宋_GB2312" w:cs="仿宋_GB2312"/>
          <w:color w:val="000000"/>
          <w:sz w:val="32"/>
          <w:szCs w:val="32"/>
        </w:rPr>
        <w:t xml:space="preserve"> 本办法各自印发之日起施行。</w:t>
      </w:r>
    </w:p>
    <w:p>
      <w:pPr>
        <w:pStyle w:val="4"/>
        <w:widowControl/>
        <w:spacing w:beforeLines="0" w:afterLines="0" w:line="576" w:lineRule="exact"/>
        <w:jc w:val="both"/>
        <w:rPr>
          <w:rFonts w:hint="eastAsia" w:ascii="仿宋_GB2312" w:hAnsi="仿宋_GB2312" w:eastAsia="仿宋_GB2312" w:cs="仿宋_GB2312"/>
          <w:color w:val="000000"/>
          <w:sz w:val="32"/>
          <w:szCs w:val="32"/>
        </w:rPr>
        <w:sectPr>
          <w:footerReference r:id="rId3" w:type="default"/>
          <w:pgSz w:w="11906" w:h="16838"/>
          <w:pgMar w:top="1417" w:right="1417" w:bottom="1417" w:left="1417" w:header="851" w:footer="992" w:gutter="0"/>
          <w:pgNumType w:fmt="numberInDash" w:start="1"/>
          <w:cols w:space="720" w:num="1"/>
          <w:docGrid w:type="lines" w:linePitch="312" w:charSpace="0"/>
        </w:sectPr>
      </w:pPr>
    </w:p>
    <w:p>
      <w:pPr>
        <w:pStyle w:val="4"/>
        <w:widowControl/>
        <w:spacing w:line="576" w:lineRule="exact"/>
        <w:jc w:val="both"/>
        <w:rPr>
          <w:rFonts w:hint="eastAsia" w:ascii="宋体" w:hAnsi="宋体" w:cs="宋体"/>
          <w:b/>
          <w:color w:val="000000"/>
          <w:sz w:val="40"/>
          <w:szCs w:val="40"/>
          <w:lang w:bidi="ar"/>
        </w:rPr>
      </w:pPr>
      <w:r>
        <w:rPr>
          <w:rFonts w:hint="eastAsia" w:ascii="仿宋_GB2312" w:hAnsi="仿宋_GB2312" w:eastAsia="仿宋_GB2312" w:cs="仿宋_GB2312"/>
          <w:color w:val="000000"/>
          <w:sz w:val="32"/>
          <w:szCs w:val="32"/>
        </w:rPr>
        <w:t>附表：</w:t>
      </w:r>
    </w:p>
    <w:tbl>
      <w:tblPr>
        <w:tblStyle w:val="5"/>
        <w:tblW w:w="13780" w:type="dxa"/>
        <w:jc w:val="center"/>
        <w:tblInd w:w="0" w:type="dxa"/>
        <w:tblLayout w:type="fixed"/>
        <w:tblCellMar>
          <w:top w:w="0" w:type="dxa"/>
          <w:left w:w="0" w:type="dxa"/>
          <w:bottom w:w="0" w:type="dxa"/>
          <w:right w:w="0" w:type="dxa"/>
        </w:tblCellMar>
      </w:tblPr>
      <w:tblGrid>
        <w:gridCol w:w="5941"/>
        <w:gridCol w:w="2087"/>
        <w:gridCol w:w="3544"/>
        <w:gridCol w:w="2208"/>
      </w:tblGrid>
      <w:tr>
        <w:tblPrEx>
          <w:tblLayout w:type="fixed"/>
          <w:tblCellMar>
            <w:top w:w="0" w:type="dxa"/>
            <w:left w:w="0" w:type="dxa"/>
            <w:bottom w:w="0" w:type="dxa"/>
            <w:right w:w="0" w:type="dxa"/>
          </w:tblCellMar>
        </w:tblPrEx>
        <w:trPr>
          <w:trHeight w:val="849" w:hRule="atLeast"/>
          <w:jc w:val="center"/>
        </w:trPr>
        <w:tc>
          <w:tcPr>
            <w:tcW w:w="13780" w:type="dxa"/>
            <w:gridSpan w:val="4"/>
            <w:tcBorders>
              <w:top w:val="nil"/>
              <w:left w:val="nil"/>
              <w:bottom w:val="nil"/>
              <w:right w:val="nil"/>
            </w:tcBorders>
            <w:noWrap/>
            <w:tcMar>
              <w:top w:w="15" w:type="dxa"/>
              <w:left w:w="15" w:type="dxa"/>
              <w:right w:w="15" w:type="dxa"/>
            </w:tcMar>
            <w:vAlign w:val="center"/>
          </w:tcPr>
          <w:p>
            <w:pPr>
              <w:widowControl/>
              <w:jc w:val="center"/>
              <w:textAlignment w:val="center"/>
              <w:rPr>
                <w:rFonts w:hint="eastAsia" w:ascii="宋体" w:hAnsi="宋体" w:cs="宋体"/>
                <w:b/>
                <w:color w:val="000000"/>
                <w:sz w:val="40"/>
                <w:szCs w:val="40"/>
              </w:rPr>
            </w:pPr>
            <w:r>
              <w:rPr>
                <w:rFonts w:hint="eastAsia" w:ascii="宋体" w:hAnsi="宋体" w:cs="宋体"/>
                <w:b/>
                <w:color w:val="000000"/>
                <w:kern w:val="0"/>
                <w:sz w:val="40"/>
                <w:szCs w:val="40"/>
                <w:lang w:bidi="ar"/>
              </w:rPr>
              <w:t>巴中市自然资源和规划局抽取记录表</w:t>
            </w:r>
          </w:p>
        </w:tc>
      </w:tr>
      <w:tr>
        <w:tblPrEx>
          <w:tblLayout w:type="fixed"/>
          <w:tblCellMar>
            <w:top w:w="0" w:type="dxa"/>
            <w:left w:w="0" w:type="dxa"/>
            <w:bottom w:w="0" w:type="dxa"/>
            <w:right w:w="0" w:type="dxa"/>
          </w:tblCellMar>
        </w:tblPrEx>
        <w:trPr>
          <w:trHeight w:val="390" w:hRule="atLeast"/>
          <w:jc w:val="center"/>
        </w:trPr>
        <w:tc>
          <w:tcPr>
            <w:tcW w:w="5941" w:type="dxa"/>
            <w:tcBorders>
              <w:top w:val="nil"/>
              <w:left w:val="nil"/>
              <w:bottom w:val="single" w:color="000000" w:sz="4" w:space="0"/>
              <w:right w:val="nil"/>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时间：    年  月  日</w:t>
            </w:r>
          </w:p>
        </w:tc>
        <w:tc>
          <w:tcPr>
            <w:tcW w:w="2087" w:type="dxa"/>
            <w:tcBorders>
              <w:top w:val="nil"/>
              <w:left w:val="nil"/>
              <w:bottom w:val="single" w:color="000000" w:sz="4" w:space="0"/>
              <w:right w:val="nil"/>
            </w:tcBorders>
            <w:noWrap/>
            <w:tcMar>
              <w:top w:w="15" w:type="dxa"/>
              <w:left w:w="15" w:type="dxa"/>
              <w:right w:w="15" w:type="dxa"/>
            </w:tcMar>
            <w:vAlign w:val="center"/>
          </w:tcPr>
          <w:p>
            <w:pPr>
              <w:rPr>
                <w:rFonts w:hint="eastAsia" w:ascii="宋体" w:hAnsi="宋体" w:cs="宋体"/>
                <w:color w:val="000000"/>
                <w:sz w:val="24"/>
                <w:szCs w:val="24"/>
              </w:rPr>
            </w:pPr>
          </w:p>
        </w:tc>
        <w:tc>
          <w:tcPr>
            <w:tcW w:w="3544" w:type="dxa"/>
            <w:tcBorders>
              <w:top w:val="nil"/>
              <w:left w:val="nil"/>
              <w:bottom w:val="single" w:color="000000" w:sz="4" w:space="0"/>
              <w:right w:val="nil"/>
            </w:tcBorders>
            <w:noWrap/>
            <w:tcMar>
              <w:top w:w="15" w:type="dxa"/>
              <w:left w:w="15" w:type="dxa"/>
              <w:right w:w="15" w:type="dxa"/>
            </w:tcMar>
            <w:vAlign w:val="center"/>
          </w:tcPr>
          <w:p>
            <w:pPr>
              <w:jc w:val="left"/>
              <w:rPr>
                <w:rFonts w:hint="eastAsia" w:ascii="宋体" w:hAnsi="宋体" w:cs="宋体"/>
                <w:color w:val="000000"/>
                <w:sz w:val="24"/>
                <w:szCs w:val="24"/>
              </w:rPr>
            </w:pPr>
          </w:p>
        </w:tc>
        <w:tc>
          <w:tcPr>
            <w:tcW w:w="2208" w:type="dxa"/>
            <w:tcBorders>
              <w:top w:val="nil"/>
              <w:left w:val="nil"/>
              <w:bottom w:val="single" w:color="000000" w:sz="4" w:space="0"/>
              <w:right w:val="nil"/>
            </w:tcBorders>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地点：  </w:t>
            </w:r>
          </w:p>
        </w:tc>
      </w:tr>
      <w:tr>
        <w:tblPrEx>
          <w:tblLayout w:type="fixed"/>
          <w:tblCellMar>
            <w:top w:w="0" w:type="dxa"/>
            <w:left w:w="0" w:type="dxa"/>
            <w:bottom w:w="0" w:type="dxa"/>
            <w:right w:w="0" w:type="dxa"/>
          </w:tblCellMar>
        </w:tblPrEx>
        <w:trPr>
          <w:trHeight w:val="580" w:hRule="atLeast"/>
          <w:jc w:val="center"/>
        </w:trPr>
        <w:tc>
          <w:tcPr>
            <w:tcW w:w="59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基本情况</w:t>
            </w:r>
          </w:p>
        </w:tc>
        <w:tc>
          <w:tcPr>
            <w:tcW w:w="20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资质要求</w:t>
            </w:r>
          </w:p>
        </w:tc>
        <w:tc>
          <w:tcPr>
            <w:tcW w:w="3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抽取结果</w:t>
            </w:r>
          </w:p>
        </w:tc>
        <w:tc>
          <w:tcPr>
            <w:tcW w:w="22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备 注</w:t>
            </w:r>
          </w:p>
        </w:tc>
      </w:tr>
      <w:tr>
        <w:tblPrEx>
          <w:tblLayout w:type="fixed"/>
          <w:tblCellMar>
            <w:top w:w="0" w:type="dxa"/>
            <w:left w:w="0" w:type="dxa"/>
            <w:bottom w:w="0" w:type="dxa"/>
            <w:right w:w="0" w:type="dxa"/>
          </w:tblCellMar>
        </w:tblPrEx>
        <w:trPr>
          <w:trHeight w:val="2852" w:hRule="atLeast"/>
          <w:jc w:val="center"/>
        </w:trPr>
        <w:tc>
          <w:tcPr>
            <w:tcW w:w="5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宋体" w:eastAsia="仿宋_GB2312" w:cs="仿宋_GB2312"/>
                <w:color w:val="000000"/>
                <w:sz w:val="28"/>
                <w:szCs w:val="28"/>
              </w:rPr>
            </w:pPr>
          </w:p>
        </w:tc>
        <w:tc>
          <w:tcPr>
            <w:tcW w:w="2087"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hint="eastAsia" w:ascii="仿宋_GB2312" w:hAnsi="宋体" w:eastAsia="仿宋_GB2312" w:cs="仿宋_GB2312"/>
                <w:color w:val="000000"/>
                <w:sz w:val="28"/>
                <w:szCs w:val="28"/>
              </w:rPr>
            </w:pPr>
          </w:p>
        </w:tc>
        <w:tc>
          <w:tcPr>
            <w:tcW w:w="3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宋体" w:eastAsia="仿宋_GB2312" w:cs="仿宋_GB2312"/>
                <w:color w:val="000000"/>
                <w:sz w:val="28"/>
                <w:szCs w:val="28"/>
              </w:rPr>
            </w:pPr>
          </w:p>
        </w:tc>
        <w:tc>
          <w:tcPr>
            <w:tcW w:w="2208"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left"/>
              <w:rPr>
                <w:rFonts w:hint="eastAsia" w:ascii="仿宋_GB2312" w:hAnsi="宋体" w:eastAsia="仿宋_GB2312" w:cs="仿宋_GB2312"/>
                <w:color w:val="000000"/>
                <w:sz w:val="28"/>
                <w:szCs w:val="28"/>
              </w:rPr>
            </w:pPr>
          </w:p>
        </w:tc>
      </w:tr>
      <w:tr>
        <w:tblPrEx>
          <w:tblLayout w:type="fixed"/>
          <w:tblCellMar>
            <w:top w:w="0" w:type="dxa"/>
            <w:left w:w="0" w:type="dxa"/>
            <w:bottom w:w="0" w:type="dxa"/>
            <w:right w:w="0" w:type="dxa"/>
          </w:tblCellMar>
        </w:tblPrEx>
        <w:trPr>
          <w:trHeight w:val="1693" w:hRule="atLeast"/>
          <w:jc w:val="center"/>
        </w:trPr>
        <w:tc>
          <w:tcPr>
            <w:tcW w:w="13780" w:type="dxa"/>
            <w:gridSpan w:val="4"/>
            <w:tcBorders>
              <w:top w:val="single" w:color="000000" w:sz="4" w:space="0"/>
              <w:left w:val="nil"/>
              <w:bottom w:val="nil"/>
              <w:right w:val="nil"/>
            </w:tcBorders>
            <w:noWrap/>
            <w:tcMar>
              <w:top w:w="15" w:type="dxa"/>
              <w:left w:w="15" w:type="dxa"/>
              <w:right w:w="15" w:type="dxa"/>
            </w:tcMar>
            <w:vAlign w:val="center"/>
          </w:tcPr>
          <w:p>
            <w:pPr>
              <w:widowControl/>
              <w:jc w:val="left"/>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 xml:space="preserve">经办人：           </w:t>
            </w:r>
          </w:p>
          <w:p>
            <w:pPr>
              <w:widowControl/>
              <w:jc w:val="left"/>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 xml:space="preserve">参加人：                                    </w:t>
            </w:r>
          </w:p>
          <w:p>
            <w:pPr>
              <w:widowControl/>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 xml:space="preserve">机关纪委意见：                             </w:t>
            </w:r>
          </w:p>
        </w:tc>
      </w:tr>
    </w:tbl>
    <w:p>
      <w:pPr>
        <w:rPr>
          <w:rFonts w:hint="eastAsia"/>
          <w:szCs w:val="24"/>
        </w:rPr>
      </w:pPr>
    </w:p>
    <w:p/>
    <w:sectPr>
      <w:footerReference r:id="rId4" w:type="default"/>
      <w:pgSz w:w="16838" w:h="11906" w:orient="landscape"/>
      <w:pgMar w:top="1588" w:right="2098" w:bottom="1474" w:left="1985"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0B325A"/>
    <w:rsid w:val="3A0B325A"/>
    <w:rsid w:val="64D06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2019-08-07T07:36:00Z</dcterms:created>
  <dc:creator>　3h</dc:creator>
  <cp:lastModifiedBy>　3h</cp:lastModifiedBy>
  <dcterms:modified xsi:type="dcterms:W3CDTF">2019-08-07T07:41:01Z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