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宋体" w:hAnsi="宋体" w:cs="方正黑体_GBK"/>
          <w:b/>
          <w:sz w:val="40"/>
          <w:szCs w:val="32"/>
        </w:rPr>
      </w:pPr>
      <w:r>
        <w:rPr>
          <w:rFonts w:hint="eastAsia" w:ascii="宋体" w:hAnsi="宋体" w:cs="方正黑体_GBK"/>
          <w:b/>
          <w:sz w:val="40"/>
          <w:szCs w:val="32"/>
        </w:rPr>
        <w:t>巴中市光雾山诺水河文旅融合发展示范片区 (通江片区)国土空间</w:t>
      </w:r>
      <w:r>
        <w:rPr>
          <w:rFonts w:hint="eastAsia" w:ascii="宋体" w:hAnsi="宋体" w:cs="方正黑体_GBK"/>
          <w:b/>
          <w:sz w:val="40"/>
          <w:szCs w:val="32"/>
          <w:lang w:val="en-US" w:eastAsia="zh-CN"/>
        </w:rPr>
        <w:t>总体</w:t>
      </w:r>
      <w:r>
        <w:rPr>
          <w:rFonts w:hint="eastAsia" w:ascii="宋体" w:hAnsi="宋体" w:cs="方正黑体_GBK"/>
          <w:b/>
          <w:sz w:val="40"/>
          <w:szCs w:val="32"/>
        </w:rPr>
        <w:t>规划（202</w:t>
      </w:r>
      <w:r>
        <w:rPr>
          <w:rFonts w:ascii="宋体" w:hAnsi="宋体" w:cs="方正黑体_GBK"/>
          <w:b/>
          <w:sz w:val="40"/>
          <w:szCs w:val="32"/>
        </w:rPr>
        <w:t>0</w:t>
      </w:r>
      <w:r>
        <w:rPr>
          <w:rFonts w:hint="eastAsia" w:ascii="宋体" w:hAnsi="宋体" w:cs="方正黑体_GBK"/>
          <w:b/>
          <w:sz w:val="40"/>
          <w:szCs w:val="32"/>
        </w:rPr>
        <w:t xml:space="preserve">-2035年） </w:t>
      </w:r>
    </w:p>
    <w:p>
      <w:pPr>
        <w:spacing w:line="220" w:lineRule="atLeast"/>
        <w:jc w:val="center"/>
        <w:rPr>
          <w:rFonts w:ascii="宋体" w:hAnsi="宋体" w:cs="方正黑体_GBK"/>
          <w:b/>
          <w:sz w:val="40"/>
          <w:szCs w:val="32"/>
        </w:rPr>
      </w:pPr>
      <w:r>
        <w:rPr>
          <w:rFonts w:hint="eastAsia" w:ascii="宋体" w:hAnsi="宋体" w:cs="方正黑体_GBK"/>
          <w:b/>
          <w:sz w:val="40"/>
          <w:szCs w:val="32"/>
        </w:rPr>
        <w:t>公示稿</w:t>
      </w:r>
    </w:p>
    <w:p>
      <w:pPr>
        <w:spacing w:line="560" w:lineRule="exact"/>
        <w:ind w:firstLine="640" w:firstLineChars="200"/>
        <w:rPr>
          <w:rFonts w:ascii="宋体" w:hAnsi="宋体" w:cs="方正黑体_GBK"/>
          <w:sz w:val="32"/>
          <w:szCs w:val="32"/>
        </w:rPr>
      </w:pPr>
    </w:p>
    <w:p>
      <w:pPr>
        <w:spacing w:line="560" w:lineRule="exact"/>
        <w:ind w:firstLine="562" w:firstLineChars="200"/>
        <w:rPr>
          <w:rFonts w:ascii="宋体" w:hAnsi="宋体" w:cs="方正黑体_GBK"/>
          <w:b/>
          <w:sz w:val="28"/>
          <w:szCs w:val="32"/>
        </w:rPr>
      </w:pPr>
      <w:r>
        <w:rPr>
          <w:rFonts w:hint="eastAsia" w:ascii="宋体" w:hAnsi="宋体" w:cs="方正黑体_GBK"/>
          <w:b/>
          <w:sz w:val="28"/>
          <w:szCs w:val="32"/>
        </w:rPr>
        <w:t>一、规划名称</w:t>
      </w:r>
    </w:p>
    <w:p>
      <w:pPr>
        <w:spacing w:line="220" w:lineRule="atLeast"/>
        <w:ind w:firstLine="420"/>
        <w:jc w:val="left"/>
        <w:rPr>
          <w:rFonts w:ascii="宋体" w:hAnsi="宋体" w:cs="方正黑体_GBK"/>
          <w:sz w:val="28"/>
          <w:szCs w:val="32"/>
        </w:rPr>
      </w:pPr>
      <w:r>
        <w:rPr>
          <w:rFonts w:hint="eastAsia" w:ascii="宋体" w:hAnsi="宋体" w:cs="方正黑体_GBK"/>
          <w:sz w:val="28"/>
          <w:szCs w:val="32"/>
        </w:rPr>
        <w:t>《巴中市光雾山诺水河文旅融合发展示范片区 (通江片区)</w:t>
      </w:r>
    </w:p>
    <w:p>
      <w:pPr>
        <w:spacing w:line="220" w:lineRule="atLeast"/>
        <w:jc w:val="left"/>
        <w:rPr>
          <w:rFonts w:ascii="宋体" w:hAnsi="宋体" w:cs="方正黑体_GBK"/>
          <w:sz w:val="28"/>
          <w:szCs w:val="32"/>
        </w:rPr>
      </w:pPr>
      <w:r>
        <w:rPr>
          <w:rFonts w:hint="eastAsia" w:ascii="宋体" w:hAnsi="宋体" w:cs="方正黑体_GBK"/>
          <w:sz w:val="28"/>
          <w:szCs w:val="32"/>
        </w:rPr>
        <w:t>国土空间</w:t>
      </w:r>
      <w:r>
        <w:rPr>
          <w:rFonts w:hint="eastAsia" w:ascii="宋体" w:hAnsi="宋体" w:cs="方正黑体_GBK"/>
          <w:sz w:val="28"/>
          <w:szCs w:val="32"/>
          <w:lang w:val="en-US" w:eastAsia="zh-CN"/>
        </w:rPr>
        <w:t>总体</w:t>
      </w:r>
      <w:bookmarkStart w:id="0" w:name="_GoBack"/>
      <w:bookmarkEnd w:id="0"/>
      <w:r>
        <w:rPr>
          <w:rFonts w:hint="eastAsia" w:ascii="宋体" w:hAnsi="宋体" w:cs="方正黑体_GBK"/>
          <w:sz w:val="28"/>
          <w:szCs w:val="32"/>
        </w:rPr>
        <w:t>规划（202</w:t>
      </w:r>
      <w:r>
        <w:rPr>
          <w:rFonts w:ascii="宋体" w:hAnsi="宋体" w:cs="方正黑体_GBK"/>
          <w:sz w:val="28"/>
          <w:szCs w:val="32"/>
        </w:rPr>
        <w:t>0</w:t>
      </w:r>
      <w:r>
        <w:rPr>
          <w:rFonts w:hint="eastAsia" w:ascii="宋体" w:hAnsi="宋体" w:cs="方正黑体_GBK"/>
          <w:sz w:val="28"/>
          <w:szCs w:val="32"/>
        </w:rPr>
        <w:t>-2035年）》</w:t>
      </w:r>
    </w:p>
    <w:p>
      <w:pPr>
        <w:spacing w:line="560" w:lineRule="exact"/>
        <w:ind w:firstLine="562" w:firstLineChars="200"/>
        <w:rPr>
          <w:rFonts w:ascii="宋体" w:hAnsi="宋体" w:cs="方正黑体_GBK"/>
          <w:b/>
          <w:sz w:val="28"/>
          <w:szCs w:val="32"/>
        </w:rPr>
      </w:pPr>
      <w:r>
        <w:rPr>
          <w:rFonts w:ascii="宋体" w:hAnsi="宋体" w:cs="方正黑体_GBK"/>
          <w:b/>
          <w:sz w:val="28"/>
          <w:szCs w:val="32"/>
        </w:rPr>
        <w:t>二、规划期限</w:t>
      </w:r>
    </w:p>
    <w:p>
      <w:pPr>
        <w:spacing w:line="560" w:lineRule="exact"/>
        <w:ind w:firstLine="560" w:firstLineChars="200"/>
        <w:rPr>
          <w:sz w:val="16"/>
        </w:rPr>
      </w:pPr>
      <w:r>
        <w:rPr>
          <w:rFonts w:hint="eastAsia" w:ascii="宋体" w:hAnsi="宋体" w:cs="方正黑体_GBK"/>
          <w:sz w:val="28"/>
          <w:szCs w:val="32"/>
        </w:rPr>
        <w:t>202</w:t>
      </w:r>
      <w:r>
        <w:rPr>
          <w:rFonts w:ascii="宋体" w:hAnsi="宋体" w:cs="方正黑体_GBK"/>
          <w:sz w:val="28"/>
          <w:szCs w:val="32"/>
        </w:rPr>
        <w:t>0</w:t>
      </w:r>
      <w:r>
        <w:rPr>
          <w:rFonts w:hint="eastAsia" w:ascii="宋体" w:hAnsi="宋体" w:cs="方正黑体_GBK"/>
          <w:sz w:val="28"/>
          <w:szCs w:val="32"/>
        </w:rPr>
        <w:t>年-2035年</w:t>
      </w:r>
    </w:p>
    <w:p>
      <w:pPr>
        <w:spacing w:line="560" w:lineRule="exact"/>
        <w:ind w:firstLine="562" w:firstLineChars="200"/>
        <w:rPr>
          <w:rFonts w:ascii="宋体" w:hAnsi="宋体" w:cs="方正黑体_GBK"/>
          <w:b/>
          <w:sz w:val="28"/>
          <w:szCs w:val="32"/>
        </w:rPr>
      </w:pPr>
      <w:r>
        <w:rPr>
          <w:rFonts w:ascii="宋体" w:hAnsi="宋体" w:cs="方正黑体_GBK"/>
          <w:b/>
          <w:sz w:val="28"/>
          <w:szCs w:val="32"/>
        </w:rPr>
        <w:t>三、片区概况</w:t>
      </w:r>
    </w:p>
    <w:p>
      <w:pPr>
        <w:pStyle w:val="9"/>
        <w:spacing w:line="360" w:lineRule="auto"/>
        <w:ind w:firstLine="56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光雾山诺水河文旅融合发展片区（通江片区）位于川陕交界处、通江县北部、距通江县城64公里，米仓山东段南麓，北连陕西省汉中市南郑区，南邻通江县板桥镇、长坪镇、铁溪镇，西靠南江县贵民镇，东接陕西省汉中市镇巴县。该片区处于川、陕、渝旅游“金三角”地带，S15镇广高速通达片区东侧两河口镇，G347国道从两河口镇东侧过，内有S301、S408、S204境内穿境而过。该片区内下辖三个镇，包括诺水河镇、空山镇、两河口镇，下辖2个社区、34个村庄、4个林场片区，户籍人口4.29万人，常住人口2.97万人。</w:t>
      </w:r>
    </w:p>
    <w:p>
      <w:pPr>
        <w:spacing w:line="560" w:lineRule="exact"/>
        <w:ind w:firstLine="562" w:firstLineChars="200"/>
        <w:rPr>
          <w:rFonts w:ascii="宋体" w:hAnsi="宋体" w:cs="方正黑体_GBK"/>
          <w:b/>
          <w:sz w:val="28"/>
          <w:szCs w:val="32"/>
        </w:rPr>
      </w:pPr>
      <w:r>
        <w:rPr>
          <w:rFonts w:ascii="宋体" w:hAnsi="宋体" w:cs="方正黑体_GBK"/>
          <w:b/>
          <w:sz w:val="28"/>
          <w:szCs w:val="32"/>
        </w:rPr>
        <w:t>四、</w:t>
      </w:r>
      <w:r>
        <w:rPr>
          <w:rFonts w:hint="eastAsia" w:ascii="宋体" w:hAnsi="宋体" w:cs="方正黑体_GBK"/>
          <w:b/>
          <w:sz w:val="28"/>
          <w:szCs w:val="32"/>
        </w:rPr>
        <w:t>规划</w:t>
      </w:r>
      <w:r>
        <w:rPr>
          <w:rFonts w:ascii="宋体" w:hAnsi="宋体" w:cs="方正黑体_GBK"/>
          <w:b/>
          <w:sz w:val="28"/>
          <w:szCs w:val="32"/>
        </w:rPr>
        <w:t>定位</w:t>
      </w:r>
    </w:p>
    <w:p>
      <w:pPr>
        <w:ind w:firstLine="420"/>
        <w:rPr>
          <w:rFonts w:ascii="宋体" w:hAnsi="宋体" w:cs="方正黑体_GBK"/>
          <w:sz w:val="28"/>
          <w:szCs w:val="32"/>
        </w:rPr>
      </w:pPr>
      <w:r>
        <w:rPr>
          <w:rFonts w:hint="eastAsia" w:ascii="宋体" w:hAnsi="宋体" w:cs="方正黑体_GBK"/>
          <w:sz w:val="28"/>
          <w:szCs w:val="32"/>
        </w:rPr>
        <w:t>规划立足区位优势和资源禀赋，加强功能协作和服务配套，围绕文旅新区“一区两地”的战略定位，统筹研究确定文旅新区（通江片区）的功能定位为：</w:t>
      </w:r>
    </w:p>
    <w:p>
      <w:pPr>
        <w:ind w:firstLine="420"/>
        <w:rPr>
          <w:rFonts w:ascii="宋体" w:hAnsi="宋体" w:cs="方正黑体_GBK"/>
          <w:sz w:val="28"/>
          <w:szCs w:val="32"/>
        </w:rPr>
      </w:pPr>
      <w:r>
        <w:rPr>
          <w:rFonts w:hint="eastAsia" w:ascii="宋体" w:hAnsi="宋体" w:cs="方正黑体_GBK"/>
          <w:sz w:val="28"/>
          <w:szCs w:val="32"/>
        </w:rPr>
        <w:t>以丛林探奇、研学科考、自然疗愈、森林康养为特色的大诺水河文旅融合发展区。</w:t>
      </w:r>
    </w:p>
    <w:p>
      <w:pPr>
        <w:pStyle w:val="9"/>
        <w:spacing w:line="360" w:lineRule="auto"/>
        <w:ind w:firstLine="562"/>
        <w:jc w:val="left"/>
        <w:rPr>
          <w:rFonts w:ascii="宋体" w:hAnsi="宋体" w:eastAsia="宋体" w:cs="方正黑体_GBK"/>
          <w:b/>
          <w:sz w:val="28"/>
          <w:szCs w:val="32"/>
        </w:rPr>
      </w:pPr>
      <w:r>
        <w:rPr>
          <w:rFonts w:hint="eastAsia" w:ascii="宋体" w:hAnsi="宋体" w:eastAsia="宋体" w:cs="方正黑体_GBK"/>
          <w:b/>
          <w:sz w:val="28"/>
          <w:szCs w:val="32"/>
        </w:rPr>
        <w:t>五</w:t>
      </w:r>
      <w:r>
        <w:rPr>
          <w:rFonts w:ascii="宋体" w:hAnsi="宋体" w:eastAsia="宋体" w:cs="方正黑体_GBK"/>
          <w:b/>
          <w:sz w:val="28"/>
          <w:szCs w:val="32"/>
        </w:rPr>
        <w:t>、规划结构</w:t>
      </w:r>
    </w:p>
    <w:p>
      <w:pPr>
        <w:pStyle w:val="9"/>
        <w:spacing w:line="360" w:lineRule="auto"/>
        <w:ind w:firstLine="560"/>
        <w:jc w:val="left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规划形成“一带两廊，一轴两环、一核多组团”的保护开发总体格局。</w:t>
      </w:r>
    </w:p>
    <w:p>
      <w:pPr>
        <w:pStyle w:val="9"/>
        <w:spacing w:line="360" w:lineRule="auto"/>
        <w:ind w:firstLine="560"/>
        <w:jc w:val="left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依托自然山水格局，加强大巴山系米仓山生态屏障功能建设，共同筑牢长江上游重要生态屏障，构建支撑生物多样性维护、水土保持、水源涵养等关键生态功能的生态空间结构；保护流域生态环境，以小通江河、大通江河2条主要河流水系为重点，构建水生生物多样性保护廊道，主要保护水源以及大鲵、岩原鲤、重口裂腹鱼、青石爬鮡、鳖、乌龟、倒刺鲃、华鲮、白甲鱼、南方鲇等水产种质资源，严格</w:t>
      </w:r>
      <w:r>
        <w:rPr>
          <w:rFonts w:ascii="宋体" w:hAnsi="宋体" w:eastAsia="宋体" w:cs="方正黑体_GBK"/>
          <w:sz w:val="28"/>
          <w:szCs w:val="32"/>
        </w:rPr>
        <w:t>保护</w:t>
      </w:r>
      <w:r>
        <w:rPr>
          <w:rFonts w:hint="eastAsia" w:ascii="宋体" w:hAnsi="宋体" w:eastAsia="宋体" w:cs="方正黑体_GBK"/>
          <w:sz w:val="28"/>
          <w:szCs w:val="32"/>
        </w:rPr>
        <w:t>四川诺水河珍惜水生动物自然保护区等。保障珍稀水生生物生境完整，促进濒危物种种群规模恢复性增长,规划形成“一带两廊”的区域生态保护格局。</w:t>
      </w:r>
    </w:p>
    <w:p>
      <w:pPr>
        <w:pStyle w:val="9"/>
        <w:spacing w:line="360" w:lineRule="auto"/>
        <w:ind w:firstLine="560"/>
        <w:jc w:val="left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以米仓大道为主要发展轴线，依托环线公路形成以丛林探奇、水上游乐、研学科考为特色诺水洞天度假产业环，以森林康养、自然疗愈为特色的空山-临江-两河口度假产业环。规划以诺水河镇为核心，打造文旅新区东向旅游集散地；以空山镇场镇、两河口镇场镇以及多个社区、中心为支点，带动周边村庄组团发展，形成“一轴两环、一核多组团”的开发格局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-2" w:leftChars="-1" w:firstLine="2"/>
        <w:rPr>
          <w:rFonts w:ascii="宋体" w:hAnsi="宋体" w:eastAsia="宋体" w:cs="方正黑体_GBK"/>
          <w:kern w:val="2"/>
          <w:sz w:val="28"/>
          <w:szCs w:val="32"/>
        </w:rPr>
      </w:pPr>
      <w:r>
        <w:rPr>
          <w:rFonts w:ascii="宋体" w:hAnsi="宋体" w:eastAsia="宋体" w:cs="方正黑体_GBK"/>
          <w:kern w:val="2"/>
          <w:sz w:val="28"/>
          <w:szCs w:val="32"/>
        </w:rPr>
        <w:drawing>
          <wp:inline distT="0" distB="0" distL="0" distR="0">
            <wp:extent cx="5257800" cy="3859530"/>
            <wp:effectExtent l="0" t="0" r="0" b="7620"/>
            <wp:docPr id="4" name="图片 4" descr="I:\20220608\公示材料\公示材料\通江片区\09片区保护开发总体格局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:\20220608\公示材料\公示材料\通江片区\09片区保护开发总体格局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12245" r="17821" b="5347"/>
                    <a:stretch>
                      <a:fillRect/>
                    </a:stretch>
                  </pic:blipFill>
                  <pic:spPr>
                    <a:xfrm>
                      <a:off x="0" y="0"/>
                      <a:ext cx="5259228" cy="38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419" w:firstLine="0"/>
        <w:rPr>
          <w:rFonts w:ascii="宋体" w:hAnsi="宋体" w:eastAsia="宋体" w:cs="方正黑体_GBK"/>
          <w:b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b/>
          <w:kern w:val="2"/>
          <w:sz w:val="28"/>
          <w:szCs w:val="32"/>
        </w:rPr>
        <w:t>六</w:t>
      </w:r>
      <w:r>
        <w:rPr>
          <w:rFonts w:ascii="宋体" w:hAnsi="宋体" w:eastAsia="宋体" w:cs="方正黑体_GBK"/>
          <w:b/>
          <w:kern w:val="2"/>
          <w:sz w:val="28"/>
          <w:szCs w:val="32"/>
        </w:rPr>
        <w:t>、</w:t>
      </w:r>
      <w:r>
        <w:rPr>
          <w:rFonts w:hint="eastAsia" w:ascii="宋体" w:hAnsi="宋体" w:eastAsia="宋体" w:cs="方正黑体_GBK"/>
          <w:b/>
          <w:kern w:val="2"/>
          <w:sz w:val="28"/>
          <w:szCs w:val="32"/>
        </w:rPr>
        <w:t>交通结构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560" w:firstLineChars="200"/>
        <w:rPr>
          <w:rFonts w:ascii="宋体" w:hAnsi="宋体" w:eastAsia="宋体" w:cs="方正黑体_GBK"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kern w:val="2"/>
          <w:sz w:val="28"/>
          <w:szCs w:val="32"/>
        </w:rPr>
        <w:t>规划以文旅新区“一轴、四环、多支连片成网”的综合交通格局基础，构建片区内”两横、两纵”干道交通系统。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560" w:firstLineChars="200"/>
        <w:rPr>
          <w:rFonts w:ascii="宋体" w:hAnsi="宋体" w:eastAsia="宋体" w:cs="方正黑体_GBK"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kern w:val="2"/>
          <w:sz w:val="28"/>
          <w:szCs w:val="32"/>
        </w:rPr>
        <w:t>两横：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560" w:firstLineChars="200"/>
        <w:rPr>
          <w:rFonts w:ascii="宋体" w:hAnsi="宋体" w:eastAsia="宋体" w:cs="方正黑体_GBK"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kern w:val="2"/>
          <w:sz w:val="28"/>
          <w:szCs w:val="32"/>
        </w:rPr>
        <w:t>（1）米仓大道：加快米仓大道快速路建设，形成文旅新区东西旅游干线，西向与G85银昆高速公路衔接、东向与S15镇广高速公路衔接。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560" w:firstLineChars="200"/>
        <w:rPr>
          <w:rFonts w:ascii="宋体" w:hAnsi="宋体" w:eastAsia="宋体" w:cs="方正黑体_GBK"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kern w:val="2"/>
          <w:sz w:val="28"/>
          <w:szCs w:val="32"/>
        </w:rPr>
        <w:t>（2）旅游干线公路：打通内部旅游主干线，依托省道408、省道301（老）构成横跨东西的旅游通道，并保障居民生活出行使用。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560" w:firstLineChars="200"/>
        <w:rPr>
          <w:rFonts w:ascii="宋体" w:hAnsi="宋体" w:eastAsia="宋体" w:cs="方正黑体_GBK"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kern w:val="2"/>
          <w:sz w:val="28"/>
          <w:szCs w:val="32"/>
        </w:rPr>
        <w:t>两纵：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kern w:val="2"/>
          <w:sz w:val="28"/>
          <w:szCs w:val="32"/>
        </w:rPr>
        <w:t>（1）诺水大道—省道204：加快诺水大道建设，提升诺水河景区与通江县城的可达性。省道204诺水河段进行改线，改线至小通江河（诺水河）东侧，原省道204作为景区道路。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kern w:val="2"/>
          <w:sz w:val="28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2158365</wp:posOffset>
            </wp:positionV>
            <wp:extent cx="696595" cy="2333625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0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方正黑体_GBK"/>
          <w:kern w:val="2"/>
          <w:sz w:val="28"/>
          <w:szCs w:val="32"/>
        </w:rPr>
        <w:t>（2）两河口-空山路：强化镇广高速公路-两河口-空山-陕西境内的高等级联系通道。</w:t>
      </w:r>
      <w:r>
        <w:rPr>
          <w:rFonts w:ascii="宋体" w:hAnsi="宋体" w:eastAsia="宋体" w:cs="方正黑体_GBK"/>
          <w:sz w:val="32"/>
          <w:szCs w:val="32"/>
        </w:rPr>
        <w:drawing>
          <wp:inline distT="0" distB="0" distL="0" distR="0">
            <wp:extent cx="5238750" cy="3810000"/>
            <wp:effectExtent l="0" t="0" r="0" b="0"/>
            <wp:docPr id="5" name="图片 5" descr="I:\20220608\公示材料\公示材料\通江片区\16片区综合交通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:\20220608\公示材料\公示材料\通江片区\16片区综合交通规划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493" cy="38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419" w:firstLine="0"/>
        <w:rPr>
          <w:rFonts w:ascii="宋体" w:hAnsi="宋体" w:eastAsia="宋体" w:cs="方正黑体_GBK"/>
          <w:b/>
          <w:kern w:val="2"/>
          <w:sz w:val="28"/>
          <w:szCs w:val="32"/>
        </w:rPr>
      </w:pPr>
      <w:r>
        <w:rPr>
          <w:rFonts w:hint="eastAsia" w:ascii="宋体" w:hAnsi="宋体" w:eastAsia="宋体" w:cs="方正黑体_GBK"/>
          <w:b/>
          <w:kern w:val="2"/>
          <w:sz w:val="28"/>
          <w:szCs w:val="32"/>
        </w:rPr>
        <w:t>七</w:t>
      </w:r>
      <w:r>
        <w:rPr>
          <w:rFonts w:ascii="宋体" w:hAnsi="宋体" w:eastAsia="宋体" w:cs="方正黑体_GBK"/>
          <w:b/>
          <w:kern w:val="2"/>
          <w:sz w:val="28"/>
          <w:szCs w:val="32"/>
        </w:rPr>
        <w:t>、</w:t>
      </w:r>
      <w:r>
        <w:rPr>
          <w:rFonts w:hint="eastAsia" w:ascii="宋体" w:hAnsi="宋体" w:eastAsia="宋体" w:cs="方正黑体_GBK"/>
          <w:b/>
          <w:kern w:val="2"/>
          <w:sz w:val="28"/>
          <w:szCs w:val="32"/>
        </w:rPr>
        <w:t>用地</w:t>
      </w:r>
      <w:r>
        <w:rPr>
          <w:rFonts w:ascii="宋体" w:hAnsi="宋体" w:eastAsia="宋体" w:cs="方正黑体_GBK"/>
          <w:b/>
          <w:kern w:val="2"/>
          <w:sz w:val="28"/>
          <w:szCs w:val="32"/>
        </w:rPr>
        <w:t>布局</w:t>
      </w:r>
    </w:p>
    <w:p>
      <w:pPr>
        <w:pStyle w:val="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规划确定“中心镇</w:t>
      </w:r>
      <w:r>
        <w:rPr>
          <w:rFonts w:ascii="宋体" w:hAnsi="宋体" w:eastAsia="宋体"/>
        </w:rPr>
        <w:t>+一般镇+中心村+一般村”的四级镇村体系</w:t>
      </w:r>
      <w:r>
        <w:rPr>
          <w:rFonts w:hint="eastAsia" w:ascii="宋体" w:hAnsi="宋体" w:eastAsia="宋体"/>
        </w:rPr>
        <w:t>，其中诺水河镇为中心镇，承担文旅新区（通江片区）的综合服务、旅游服务的功能；空山镇、两河口镇为一般镇；诺水河镇的玉皇坝村、潮水村、铁厂河村、临江村，空山镇的后坝村，两河口镇的</w:t>
      </w:r>
      <w:r>
        <w:rPr>
          <w:rFonts w:hint="eastAsia" w:ascii="宋体" w:hAnsi="宋体" w:eastAsia="宋体" w:cs="宋体"/>
          <w:szCs w:val="21"/>
        </w:rPr>
        <w:t>龙头寨村</w:t>
      </w:r>
      <w:r>
        <w:rPr>
          <w:rFonts w:hint="eastAsia" w:ascii="宋体" w:hAnsi="宋体" w:eastAsia="宋体"/>
        </w:rPr>
        <w:t>、白玉村等7个村庄为中心村；其余村庄、社区为一般村。</w:t>
      </w:r>
    </w:p>
    <w:p>
      <w:pPr>
        <w:pStyle w:val="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文旅新区（通江片区）依托城镇、7个中心村，按照禀赋相似、产业相近、意愿相符、中心引领和规模适度的要求划定9个村级片区。</w:t>
      </w:r>
    </w:p>
    <w:p>
      <w:pPr>
        <w:pStyle w:val="10"/>
        <w:ind w:firstLine="0" w:firstLineChars="0"/>
        <w:jc w:val="center"/>
        <w:rPr>
          <w:b/>
        </w:rPr>
      </w:pPr>
      <w:r>
        <w:rPr>
          <w:rFonts w:hint="eastAsia"/>
          <w:b/>
        </w:rPr>
        <w:t>文旅新区（通江片区）村级片区规划一览表</w:t>
      </w:r>
    </w:p>
    <w:tbl>
      <w:tblPr>
        <w:tblStyle w:val="5"/>
        <w:tblW w:w="5000" w:type="pct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324"/>
        <w:gridCol w:w="1150"/>
        <w:gridCol w:w="1751"/>
        <w:gridCol w:w="3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425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szCs w:val="21"/>
              </w:rPr>
              <w:t>乡镇</w:t>
            </w: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szCs w:val="21"/>
              </w:rPr>
              <w:t>村级片区</w:t>
            </w:r>
          </w:p>
        </w:tc>
        <w:tc>
          <w:tcPr>
            <w:tcW w:w="1702" w:type="pct"/>
            <w:gridSpan w:val="2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b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szCs w:val="21"/>
              </w:rPr>
              <w:t>场镇或中心村</w:t>
            </w:r>
          </w:p>
        </w:tc>
        <w:tc>
          <w:tcPr>
            <w:tcW w:w="2096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b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szCs w:val="21"/>
              </w:rPr>
              <w:t>一般村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425" w:type="pct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诺水河镇</w:t>
            </w: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平溪坝片区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场镇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平溪坝村社区</w:t>
            </w:r>
          </w:p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聂家坝社区</w:t>
            </w:r>
          </w:p>
        </w:tc>
        <w:tc>
          <w:tcPr>
            <w:tcW w:w="2096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碧山村、金鸡寺村、瓦石滩村、清潭坝村、诺水河镇空山综合林场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5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777" w:type="pct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玉皇坝片区</w:t>
            </w:r>
          </w:p>
        </w:tc>
        <w:tc>
          <w:tcPr>
            <w:tcW w:w="675" w:type="pct"/>
            <w:vMerge w:val="restar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中心村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玉皇坝村</w:t>
            </w:r>
          </w:p>
        </w:tc>
        <w:tc>
          <w:tcPr>
            <w:tcW w:w="2096" w:type="pct"/>
            <w:vMerge w:val="restar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金家坝村、塘二坪村、鲁坝村、鸳鸯坪村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5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777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675" w:type="pct"/>
            <w:vMerge w:val="continue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潮水村</w:t>
            </w:r>
          </w:p>
        </w:tc>
        <w:tc>
          <w:tcPr>
            <w:tcW w:w="2096" w:type="pct"/>
            <w:vMerge w:val="continue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25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铁厂河片区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中心村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铁厂河村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官田坝村、海洋坪村、窑坡里村、金溪河村、铁厂河林场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5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临江片区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中心村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临江村</w:t>
            </w:r>
          </w:p>
        </w:tc>
        <w:tc>
          <w:tcPr>
            <w:tcW w:w="2096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白山村、碗厂沟村、天井坝村、小骡马村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5" w:type="pct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空山镇</w:t>
            </w: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龙池片区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场镇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龙池村</w:t>
            </w:r>
          </w:p>
        </w:tc>
        <w:tc>
          <w:tcPr>
            <w:tcW w:w="2096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五福村、中坝村、空山镇空山综合林场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5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后坝片区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中心村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后坝村</w:t>
            </w:r>
          </w:p>
        </w:tc>
        <w:tc>
          <w:tcPr>
            <w:tcW w:w="2096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青龙村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425" w:type="pct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两河口镇</w:t>
            </w: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二里坝片区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场镇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二里坝村</w:t>
            </w:r>
          </w:p>
        </w:tc>
        <w:tc>
          <w:tcPr>
            <w:tcW w:w="2096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两河口村、三官庙村、柏林包村、两河口镇空山综合林场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25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龙头寨片区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中心村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龙头寨村</w:t>
            </w:r>
          </w:p>
        </w:tc>
        <w:tc>
          <w:tcPr>
            <w:tcW w:w="2096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木诺槽村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5" w:type="pct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</w:p>
        </w:tc>
        <w:tc>
          <w:tcPr>
            <w:tcW w:w="77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白玉片区</w:t>
            </w:r>
          </w:p>
        </w:tc>
        <w:tc>
          <w:tcPr>
            <w:tcW w:w="675" w:type="pct"/>
            <w:shd w:val="clear" w:color="auto" w:fill="FFFFFF" w:themeFill="background1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中心村</w:t>
            </w:r>
          </w:p>
        </w:tc>
        <w:tc>
          <w:tcPr>
            <w:tcW w:w="1027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白玉村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鞍子村、长坡村</w:t>
            </w:r>
          </w:p>
        </w:tc>
      </w:tr>
    </w:tbl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kern w:val="2"/>
          <w:sz w:val="28"/>
          <w:szCs w:val="32"/>
        </w:rPr>
      </w:pP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3314700</wp:posOffset>
            </wp:positionV>
            <wp:extent cx="586105" cy="523875"/>
            <wp:effectExtent l="0" t="0" r="444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34"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23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方正黑体_GBK"/>
          <w:sz w:val="32"/>
          <w:szCs w:val="32"/>
        </w:rPr>
        <w:drawing>
          <wp:inline distT="0" distB="0" distL="0" distR="0">
            <wp:extent cx="5248275" cy="3840480"/>
            <wp:effectExtent l="0" t="0" r="0" b="7620"/>
            <wp:docPr id="2" name="图片 2" descr="I:\20220608\公示材料\公示材料\通江片区\14片区镇村体系及村级功能片区划分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:\20220608\公示材料\公示材料\通江片区\14片区镇村体系及村级功能片区划分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918" cy="38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b/>
          <w:sz w:val="28"/>
          <w:szCs w:val="32"/>
        </w:rPr>
      </w:pPr>
      <w:r>
        <w:rPr>
          <w:rFonts w:hint="eastAsia" w:ascii="宋体" w:hAnsi="宋体" w:eastAsia="宋体" w:cs="方正黑体_GBK"/>
          <w:b/>
          <w:sz w:val="28"/>
          <w:szCs w:val="32"/>
        </w:rPr>
        <w:t>八</w:t>
      </w:r>
      <w:r>
        <w:rPr>
          <w:rFonts w:ascii="宋体" w:hAnsi="宋体" w:eastAsia="宋体" w:cs="方正黑体_GBK"/>
          <w:b/>
          <w:sz w:val="28"/>
          <w:szCs w:val="32"/>
        </w:rPr>
        <w:t>、用地布局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b/>
          <w:sz w:val="28"/>
          <w:szCs w:val="32"/>
        </w:rPr>
      </w:pPr>
      <w:r>
        <w:rPr>
          <w:rFonts w:hint="eastAsia" w:ascii="宋体" w:hAnsi="宋体" w:eastAsia="宋体" w:cs="方正黑体_GBK"/>
          <w:b/>
          <w:sz w:val="28"/>
          <w:szCs w:val="32"/>
        </w:rPr>
        <w:t>（一）诺水河镇</w:t>
      </w:r>
      <w:r>
        <w:rPr>
          <w:rFonts w:ascii="宋体" w:hAnsi="宋体" w:eastAsia="宋体" w:cs="方正黑体_GBK"/>
          <w:b/>
          <w:sz w:val="28"/>
          <w:szCs w:val="32"/>
        </w:rPr>
        <w:t>区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镇区定位：片区中心镇、文旅新区东段旅游服务核心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规模：城镇建设用地76.22公顷。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用地布局：提升老镇区生活服务组团，拓展东部片区旅游综合服务组团。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jc w:val="center"/>
        <w:rPr>
          <w:rFonts w:ascii="宋体" w:hAnsi="宋体" w:eastAsia="宋体" w:cs="方正黑体_GBK"/>
          <w:sz w:val="28"/>
          <w:szCs w:val="32"/>
        </w:rPr>
      </w:pPr>
      <w:r>
        <w:rPr>
          <w:sz w:val="22"/>
        </w:rPr>
        <w:drawing>
          <wp:inline distT="0" distB="0" distL="0" distR="0">
            <wp:extent cx="3448050" cy="3448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rPr>
          <w:sz w:val="22"/>
        </w:rPr>
      </w:pPr>
      <w:r>
        <w:rPr>
          <w:sz w:val="22"/>
        </w:rPr>
        <w:drawing>
          <wp:inline distT="0" distB="0" distL="0" distR="0">
            <wp:extent cx="5274310" cy="3342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（二）空山</w:t>
      </w:r>
      <w:r>
        <w:rPr>
          <w:rFonts w:ascii="宋体" w:hAnsi="宋体" w:eastAsia="宋体" w:cs="方正黑体_GBK"/>
          <w:sz w:val="28"/>
          <w:szCs w:val="32"/>
        </w:rPr>
        <w:t>镇区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镇区定位：以自然疗愈、森林康养为特色的度假小镇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规模：城镇建设用地51.23公顷，其中留白用地31.56公顷，镇区建设用地19.96公顷。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用地布局：综合配置镇区功能布局，疏解特色旅游服务组团到镇区周边城镇开发边界内。镇区内形成北部商住服务，南部生活配套为主的功能布局。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jc w:val="center"/>
        <w:rPr>
          <w:rFonts w:ascii="宋体" w:hAnsi="宋体" w:eastAsia="宋体" w:cs="方正黑体_GBK"/>
          <w:sz w:val="28"/>
          <w:szCs w:val="32"/>
        </w:rPr>
      </w:pPr>
      <w:r>
        <w:rPr>
          <w:sz w:val="22"/>
        </w:rPr>
        <w:drawing>
          <wp:inline distT="0" distB="0" distL="0" distR="0">
            <wp:extent cx="3505200" cy="2876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jc w:val="center"/>
        <w:rPr>
          <w:rFonts w:ascii="宋体" w:hAnsi="宋体" w:eastAsia="宋体" w:cs="方正黑体_GBK"/>
          <w:sz w:val="28"/>
          <w:szCs w:val="32"/>
        </w:rPr>
      </w:pPr>
      <w:r>
        <w:rPr>
          <w:sz w:val="22"/>
        </w:rPr>
        <w:drawing>
          <wp:inline distT="0" distB="0" distL="0" distR="0">
            <wp:extent cx="5274310" cy="48647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77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4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（三）两河口</w:t>
      </w:r>
      <w:r>
        <w:rPr>
          <w:rFonts w:ascii="宋体" w:hAnsi="宋体" w:eastAsia="宋体" w:cs="方正黑体_GBK"/>
          <w:sz w:val="28"/>
          <w:szCs w:val="32"/>
        </w:rPr>
        <w:t>镇区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镇区定位：文旅新区东大门、以红色研学为特色的农旅小镇。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规模：城镇建设用地11.04公顷。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420"/>
        <w:rPr>
          <w:rFonts w:ascii="宋体" w:hAnsi="宋体" w:eastAsia="宋体" w:cs="方正黑体_GBK"/>
          <w:sz w:val="28"/>
          <w:szCs w:val="32"/>
        </w:rPr>
      </w:pPr>
      <w:r>
        <w:rPr>
          <w:rFonts w:hint="eastAsia" w:ascii="宋体" w:hAnsi="宋体" w:eastAsia="宋体" w:cs="方正黑体_GBK"/>
          <w:sz w:val="28"/>
          <w:szCs w:val="32"/>
        </w:rPr>
        <w:t>用地布局：破解老场镇拥挤局面，提升老镇区生活空间与风貌，寻求新组团疏解老场镇功能，满足旅游服务与本地居民的生活要求。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jc w:val="center"/>
        <w:rPr>
          <w:rFonts w:ascii="宋体" w:hAnsi="宋体" w:eastAsia="宋体" w:cs="方正黑体_GBK"/>
          <w:sz w:val="32"/>
          <w:szCs w:val="32"/>
        </w:rPr>
      </w:pPr>
      <w:r>
        <w:drawing>
          <wp:inline distT="0" distB="0" distL="0" distR="0">
            <wp:extent cx="4610100" cy="3495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rPr>
          <w:rFonts w:ascii="宋体" w:hAnsi="宋体" w:eastAsia="宋体" w:cs="方正黑体_GBK"/>
          <w:sz w:val="32"/>
          <w:szCs w:val="32"/>
        </w:rPr>
      </w:pPr>
      <w:r>
        <w:drawing>
          <wp:inline distT="0" distB="0" distL="0" distR="0">
            <wp:extent cx="5067300" cy="4400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jc w:val="center"/>
        <w:rPr>
          <w:rFonts w:ascii="宋体" w:hAnsi="宋体" w:eastAsia="宋体" w:cs="方正黑体_GBK"/>
          <w:szCs w:val="32"/>
        </w:rPr>
      </w:pPr>
      <w:r>
        <w:rPr>
          <w:rFonts w:hint="eastAsia" w:ascii="宋体" w:hAnsi="宋体" w:eastAsia="宋体" w:cs="方正黑体_GBK"/>
          <w:szCs w:val="32"/>
        </w:rPr>
        <w:t>老</w:t>
      </w:r>
      <w:r>
        <w:rPr>
          <w:rFonts w:ascii="宋体" w:hAnsi="宋体" w:eastAsia="宋体" w:cs="方正黑体_GBK"/>
          <w:szCs w:val="32"/>
        </w:rPr>
        <w:t>镇区规划用地</w:t>
      </w:r>
      <w:r>
        <w:rPr>
          <w:rFonts w:hint="eastAsia" w:ascii="宋体" w:hAnsi="宋体" w:eastAsia="宋体" w:cs="方正黑体_GBK"/>
          <w:szCs w:val="32"/>
        </w:rPr>
        <w:t>图</w:t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rPr>
          <w:rFonts w:ascii="宋体" w:hAnsi="宋体" w:eastAsia="宋体" w:cs="方正黑体_GBK"/>
          <w:szCs w:val="32"/>
        </w:rPr>
      </w:pPr>
      <w:r>
        <w:rPr>
          <w:sz w:val="21"/>
        </w:rPr>
        <w:drawing>
          <wp:inline distT="0" distB="0" distL="0" distR="0">
            <wp:extent cx="5105400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adjustRightInd w:val="0"/>
        <w:snapToGrid w:val="0"/>
        <w:spacing w:beforeAutospacing="0" w:afterAutospacing="0" w:line="360" w:lineRule="auto"/>
        <w:ind w:left="0" w:firstLine="0"/>
        <w:jc w:val="center"/>
        <w:rPr>
          <w:rFonts w:ascii="宋体" w:hAnsi="宋体" w:eastAsia="宋体" w:cs="方正黑体_GBK"/>
          <w:szCs w:val="32"/>
        </w:rPr>
      </w:pPr>
      <w:r>
        <w:rPr>
          <w:rFonts w:hint="eastAsia" w:ascii="宋体" w:hAnsi="宋体" w:eastAsia="宋体" w:cs="方正黑体_GBK"/>
          <w:szCs w:val="32"/>
        </w:rPr>
        <w:t>二里坝</w:t>
      </w:r>
      <w:r>
        <w:rPr>
          <w:rFonts w:ascii="宋体" w:hAnsi="宋体" w:eastAsia="宋体" w:cs="方正黑体_GBK"/>
          <w:szCs w:val="32"/>
        </w:rPr>
        <w:t>新</w:t>
      </w:r>
      <w:r>
        <w:rPr>
          <w:rFonts w:hint="eastAsia" w:ascii="宋体" w:hAnsi="宋体" w:eastAsia="宋体" w:cs="方正黑体_GBK"/>
          <w:szCs w:val="32"/>
        </w:rPr>
        <w:t>组团</w:t>
      </w:r>
      <w:r>
        <w:rPr>
          <w:rFonts w:ascii="宋体" w:hAnsi="宋体" w:eastAsia="宋体" w:cs="方正黑体_GBK"/>
          <w:szCs w:val="32"/>
        </w:rPr>
        <w:t>规划用地图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E1"/>
    <w:rsid w:val="00137667"/>
    <w:rsid w:val="00137A43"/>
    <w:rsid w:val="002048FD"/>
    <w:rsid w:val="00472D40"/>
    <w:rsid w:val="00726700"/>
    <w:rsid w:val="00787270"/>
    <w:rsid w:val="00966A98"/>
    <w:rsid w:val="00B36F23"/>
    <w:rsid w:val="00BC1148"/>
    <w:rsid w:val="00CB33E1"/>
    <w:rsid w:val="00E80164"/>
    <w:rsid w:val="251D0C6E"/>
    <w:rsid w:val="3D12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Autospacing="1" w:afterAutospacing="1"/>
      <w:ind w:left="874" w:hanging="420"/>
      <w:jc w:val="left"/>
    </w:pPr>
    <w:rPr>
      <w:rFonts w:asciiTheme="minorHAnsi" w:hAnsiTheme="minorHAnsi" w:eastAsiaTheme="minorEastAsia"/>
      <w:kern w:val="0"/>
      <w:sz w:val="24"/>
      <w:szCs w:val="22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0">
    <w:name w:val="条文正文 达州"/>
    <w:link w:val="11"/>
    <w:qFormat/>
    <w:uiPriority w:val="4"/>
    <w:pPr>
      <w:spacing w:line="360" w:lineRule="auto"/>
      <w:ind w:firstLine="560" w:firstLineChars="200"/>
      <w:jc w:val="both"/>
    </w:pPr>
    <w:rPr>
      <w:rFonts w:ascii="仿宋" w:hAnsi="仿宋" w:eastAsia="仿宋" w:cs="Times New Roman"/>
      <w:kern w:val="0"/>
      <w:sz w:val="28"/>
      <w:szCs w:val="24"/>
      <w:lang w:val="en-US" w:eastAsia="zh-CN" w:bidi="ar-SA"/>
    </w:rPr>
  </w:style>
  <w:style w:type="character" w:customStyle="1" w:styleId="11">
    <w:name w:val="条文正文 达州 字符"/>
    <w:link w:val="10"/>
    <w:qFormat/>
    <w:uiPriority w:val="4"/>
    <w:rPr>
      <w:rFonts w:ascii="仿宋" w:hAnsi="仿宋" w:eastAsia="仿宋" w:cs="Times New Roman"/>
      <w:kern w:val="0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333</Words>
  <Characters>1903</Characters>
  <Lines>15</Lines>
  <Paragraphs>4</Paragraphs>
  <TotalTime>26</TotalTime>
  <ScaleCrop>false</ScaleCrop>
  <LinksUpToDate>false</LinksUpToDate>
  <CharactersWithSpaces>2232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2022-06-08T06:50:00Z</dcterms:created>
  <dc:creator>pc</dc:creator>
  <cp:lastModifiedBy>郭铖</cp:lastModifiedBy>
  <dcterms:modified xsi:type="dcterms:W3CDTF">2022-06-09T00:45:47Z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2C9A65233E6E4643B88B7B95CF24D1FA</vt:lpwstr>
  </property>
</Properties>
</file>