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一、功能定位、控制规模和规划结构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sz w:val="32"/>
          <w:szCs w:val="32"/>
        </w:rPr>
      </w:pPr>
      <w:r w:rsidRPr="001C12F2">
        <w:rPr>
          <w:rFonts w:eastAsia="方正楷体简体"/>
          <w:sz w:val="32"/>
          <w:szCs w:val="32"/>
        </w:rPr>
        <w:t>1.</w:t>
      </w:r>
      <w:r w:rsidRPr="001C12F2">
        <w:rPr>
          <w:rFonts w:eastAsia="方正楷体简体"/>
          <w:sz w:val="32"/>
          <w:szCs w:val="32"/>
        </w:rPr>
        <w:t>功能定位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城山纽带；巴中城市品质提升与城市活力激发示范区。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sz w:val="32"/>
          <w:szCs w:val="32"/>
        </w:rPr>
      </w:pPr>
      <w:r w:rsidRPr="001C12F2">
        <w:rPr>
          <w:rFonts w:eastAsia="方正楷体简体"/>
          <w:sz w:val="32"/>
          <w:szCs w:val="32"/>
        </w:rPr>
        <w:t xml:space="preserve">2. </w:t>
      </w:r>
      <w:r w:rsidRPr="001C12F2">
        <w:rPr>
          <w:rFonts w:eastAsia="方正楷体简体"/>
          <w:sz w:val="32"/>
          <w:szCs w:val="32"/>
        </w:rPr>
        <w:t>控制规模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本次规划区总用地面积为</w:t>
      </w:r>
      <w:r w:rsidRPr="001C12F2">
        <w:rPr>
          <w:rFonts w:eastAsia="方正仿宋简体"/>
          <w:sz w:val="32"/>
          <w:szCs w:val="32"/>
        </w:rPr>
        <w:t>141.2</w:t>
      </w:r>
      <w:r w:rsidRPr="001C12F2">
        <w:rPr>
          <w:rFonts w:eastAsia="方正仿宋简体"/>
          <w:sz w:val="32"/>
          <w:szCs w:val="32"/>
        </w:rPr>
        <w:t>公顷，其中城市建设用地面积</w:t>
      </w:r>
      <w:r w:rsidRPr="001C12F2">
        <w:rPr>
          <w:rFonts w:eastAsia="方正仿宋简体"/>
          <w:sz w:val="32"/>
          <w:szCs w:val="32"/>
        </w:rPr>
        <w:t>120.13</w:t>
      </w:r>
      <w:r w:rsidRPr="001C12F2">
        <w:rPr>
          <w:rFonts w:eastAsia="方正仿宋简体"/>
          <w:sz w:val="32"/>
          <w:szCs w:val="32"/>
        </w:rPr>
        <w:t>公顷，发展备用地</w:t>
      </w:r>
      <w:r w:rsidRPr="001C12F2">
        <w:rPr>
          <w:rFonts w:eastAsia="方正仿宋简体"/>
          <w:sz w:val="32"/>
          <w:szCs w:val="32"/>
        </w:rPr>
        <w:t>14.2</w:t>
      </w:r>
      <w:r w:rsidRPr="001C12F2">
        <w:rPr>
          <w:rFonts w:eastAsia="方正仿宋简体"/>
          <w:sz w:val="32"/>
          <w:szCs w:val="32"/>
        </w:rPr>
        <w:t>公顷，区域交通设施用地</w:t>
      </w:r>
      <w:r w:rsidRPr="001C12F2">
        <w:rPr>
          <w:rFonts w:eastAsia="方正仿宋简体"/>
          <w:sz w:val="32"/>
          <w:szCs w:val="32"/>
        </w:rPr>
        <w:t>5.32</w:t>
      </w:r>
      <w:r w:rsidRPr="001C12F2">
        <w:rPr>
          <w:rFonts w:eastAsia="方正仿宋简体"/>
          <w:sz w:val="32"/>
          <w:szCs w:val="32"/>
        </w:rPr>
        <w:t>公顷</w:t>
      </w:r>
      <w:r w:rsidRPr="001C12F2">
        <w:rPr>
          <w:rFonts w:eastAsia="方正仿宋简体"/>
          <w:sz w:val="32"/>
          <w:szCs w:val="32"/>
        </w:rPr>
        <w:t>,</w:t>
      </w:r>
      <w:r w:rsidRPr="001C12F2">
        <w:rPr>
          <w:rFonts w:eastAsia="方正仿宋简体"/>
          <w:sz w:val="32"/>
          <w:szCs w:val="32"/>
        </w:rPr>
        <w:t>非建设用地</w:t>
      </w:r>
      <w:r w:rsidRPr="001C12F2">
        <w:rPr>
          <w:rFonts w:eastAsia="方正仿宋简体"/>
          <w:sz w:val="32"/>
          <w:szCs w:val="32"/>
        </w:rPr>
        <w:t>1.55</w:t>
      </w:r>
      <w:r w:rsidRPr="001C12F2">
        <w:rPr>
          <w:rFonts w:eastAsia="方正仿宋简体"/>
          <w:sz w:val="32"/>
          <w:szCs w:val="32"/>
        </w:rPr>
        <w:t>公顷。</w:t>
      </w:r>
      <w:bookmarkStart w:id="0" w:name="_GoBack"/>
      <w:bookmarkEnd w:id="0"/>
    </w:p>
    <w:p w:rsidR="00D22D5D" w:rsidRPr="001C12F2" w:rsidRDefault="00D22D5D" w:rsidP="00D22D5D">
      <w:pPr>
        <w:numPr>
          <w:ilvl w:val="0"/>
          <w:numId w:val="1"/>
        </w:numPr>
        <w:spacing w:line="560" w:lineRule="exact"/>
        <w:ind w:firstLineChars="200" w:firstLine="640"/>
        <w:rPr>
          <w:rFonts w:eastAsia="方正楷体简体"/>
          <w:sz w:val="32"/>
          <w:szCs w:val="32"/>
        </w:rPr>
      </w:pPr>
      <w:r w:rsidRPr="001C12F2">
        <w:rPr>
          <w:rFonts w:eastAsia="方正楷体简体"/>
          <w:sz w:val="32"/>
          <w:szCs w:val="32"/>
        </w:rPr>
        <w:t>规划结构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规划形成</w:t>
      </w:r>
      <w:r w:rsidRPr="001C12F2">
        <w:rPr>
          <w:rFonts w:eastAsia="方正仿宋简体"/>
          <w:sz w:val="32"/>
          <w:szCs w:val="32"/>
        </w:rPr>
        <w:t>“</w:t>
      </w:r>
      <w:r w:rsidRPr="001C12F2">
        <w:rPr>
          <w:rFonts w:eastAsia="方正仿宋简体"/>
          <w:sz w:val="32"/>
          <w:szCs w:val="32"/>
        </w:rPr>
        <w:t>一轴一带、三廊三核</w:t>
      </w:r>
      <w:r w:rsidRPr="001C12F2">
        <w:rPr>
          <w:rFonts w:eastAsia="方正仿宋简体"/>
          <w:sz w:val="32"/>
          <w:szCs w:val="32"/>
        </w:rPr>
        <w:t>”</w:t>
      </w:r>
      <w:r w:rsidRPr="001C12F2">
        <w:rPr>
          <w:rFonts w:eastAsia="方正仿宋简体"/>
          <w:sz w:val="32"/>
          <w:szCs w:val="32"/>
        </w:rPr>
        <w:t>的空间结构。</w:t>
      </w:r>
      <w:r w:rsidRPr="001C12F2">
        <w:rPr>
          <w:rFonts w:eastAsia="方正仿宋简体"/>
          <w:sz w:val="32"/>
          <w:szCs w:val="32"/>
        </w:rPr>
        <w:t xml:space="preserve"> </w:t>
      </w:r>
    </w:p>
    <w:p w:rsidR="00D22D5D" w:rsidRPr="001C12F2" w:rsidRDefault="00D22D5D" w:rsidP="00D22D5D">
      <w:pPr>
        <w:numPr>
          <w:ilvl w:val="0"/>
          <w:numId w:val="2"/>
        </w:numPr>
        <w:spacing w:line="560" w:lineRule="exact"/>
        <w:ind w:left="0" w:firstLineChars="200" w:firstLine="640"/>
        <w:rPr>
          <w:rFonts w:eastAsia="方正仿宋简体"/>
          <w:b/>
          <w:bCs/>
          <w:sz w:val="32"/>
          <w:szCs w:val="32"/>
        </w:rPr>
      </w:pPr>
      <w:r w:rsidRPr="001C12F2">
        <w:rPr>
          <w:rFonts w:eastAsia="方正仿宋简体"/>
          <w:b/>
          <w:bCs/>
          <w:sz w:val="32"/>
          <w:szCs w:val="32"/>
        </w:rPr>
        <w:t>一轴一带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一轴：依托北环线形成城市发展轴。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一带：依托张家河形成生态滨水景观带。</w:t>
      </w:r>
    </w:p>
    <w:p w:rsidR="00D22D5D" w:rsidRPr="001C12F2" w:rsidRDefault="00D22D5D" w:rsidP="00D22D5D">
      <w:pPr>
        <w:numPr>
          <w:ilvl w:val="0"/>
          <w:numId w:val="2"/>
        </w:numPr>
        <w:spacing w:line="560" w:lineRule="exact"/>
        <w:ind w:left="0" w:firstLineChars="200" w:firstLine="640"/>
        <w:rPr>
          <w:rFonts w:eastAsia="方正仿宋简体"/>
          <w:b/>
          <w:bCs/>
          <w:sz w:val="32"/>
          <w:szCs w:val="32"/>
        </w:rPr>
      </w:pPr>
      <w:proofErr w:type="gramStart"/>
      <w:r w:rsidRPr="001C12F2">
        <w:rPr>
          <w:rFonts w:eastAsia="方正仿宋简体"/>
          <w:b/>
          <w:bCs/>
          <w:sz w:val="32"/>
          <w:szCs w:val="32"/>
        </w:rPr>
        <w:t>三廊三核</w:t>
      </w:r>
      <w:proofErr w:type="gramEnd"/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三廊：规划形成三条视线景观廊道；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三核：依托铁路客运站、</w:t>
      </w:r>
      <w:proofErr w:type="gramStart"/>
      <w:r w:rsidRPr="001C12F2">
        <w:rPr>
          <w:rFonts w:eastAsia="方正仿宋简体"/>
          <w:sz w:val="32"/>
          <w:szCs w:val="32"/>
        </w:rPr>
        <w:t>公交首</w:t>
      </w:r>
      <w:proofErr w:type="gramEnd"/>
      <w:r w:rsidRPr="001C12F2">
        <w:rPr>
          <w:rFonts w:eastAsia="方正仿宋简体"/>
          <w:sz w:val="32"/>
          <w:szCs w:val="32"/>
        </w:rPr>
        <w:t>末站、汽车客运站形成公共交通核心；依托巴中市体育馆形成体育健身核心；依托北</w:t>
      </w:r>
      <w:proofErr w:type="gramStart"/>
      <w:r w:rsidRPr="001C12F2">
        <w:rPr>
          <w:rFonts w:eastAsia="方正仿宋简体"/>
          <w:sz w:val="32"/>
          <w:szCs w:val="32"/>
        </w:rPr>
        <w:t>龛寺形成</w:t>
      </w:r>
      <w:proofErr w:type="gramEnd"/>
      <w:r w:rsidRPr="001C12F2">
        <w:rPr>
          <w:rFonts w:eastAsia="方正仿宋简体"/>
          <w:sz w:val="32"/>
          <w:szCs w:val="32"/>
        </w:rPr>
        <w:t>文物保护核心。</w:t>
      </w:r>
    </w:p>
    <w:p w:rsidR="00D22D5D" w:rsidRPr="001C12F2" w:rsidRDefault="00D22D5D" w:rsidP="00D22D5D">
      <w:pPr>
        <w:jc w:val="center"/>
        <w:rPr>
          <w:rFonts w:eastAsia="方正仿宋简体"/>
          <w:sz w:val="32"/>
          <w:szCs w:val="32"/>
        </w:rPr>
      </w:pPr>
      <w:r>
        <w:rPr>
          <w:rFonts w:eastAsia="方正仿宋简体"/>
          <w:noProof/>
          <w:sz w:val="32"/>
          <w:szCs w:val="32"/>
        </w:rPr>
        <w:lastRenderedPageBreak/>
        <w:drawing>
          <wp:inline distT="0" distB="0" distL="0" distR="0">
            <wp:extent cx="4459605" cy="6288405"/>
            <wp:effectExtent l="0" t="0" r="0" b="0"/>
            <wp:docPr id="3" name="图片 3" descr="08规划结构图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8规划结构图1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2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二、用地规划</w:t>
      </w:r>
    </w:p>
    <w:p w:rsidR="00D22D5D" w:rsidRPr="001C12F2" w:rsidRDefault="00D22D5D" w:rsidP="00D22D5D">
      <w:pPr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规划总用地面积</w:t>
      </w:r>
      <w:r w:rsidRPr="001C12F2">
        <w:rPr>
          <w:rFonts w:eastAsia="方正仿宋简体"/>
          <w:bCs/>
          <w:sz w:val="32"/>
          <w:szCs w:val="32"/>
        </w:rPr>
        <w:t>141.2</w:t>
      </w:r>
      <w:r w:rsidRPr="001C12F2">
        <w:rPr>
          <w:rFonts w:eastAsia="方正仿宋简体"/>
          <w:bCs/>
          <w:sz w:val="32"/>
          <w:szCs w:val="32"/>
        </w:rPr>
        <w:t>公顷，其中建设用地</w:t>
      </w:r>
      <w:r w:rsidRPr="001C12F2">
        <w:rPr>
          <w:rFonts w:eastAsia="方正仿宋简体"/>
          <w:bCs/>
          <w:sz w:val="32"/>
          <w:szCs w:val="32"/>
        </w:rPr>
        <w:t>125.45</w:t>
      </w:r>
      <w:r w:rsidRPr="001C12F2">
        <w:rPr>
          <w:rFonts w:eastAsia="方正仿宋简体"/>
          <w:bCs/>
          <w:sz w:val="32"/>
          <w:szCs w:val="32"/>
        </w:rPr>
        <w:t>公顷，发展备用地</w:t>
      </w:r>
      <w:r w:rsidRPr="001C12F2">
        <w:rPr>
          <w:rFonts w:eastAsia="方正仿宋简体"/>
          <w:bCs/>
          <w:sz w:val="32"/>
          <w:szCs w:val="32"/>
        </w:rPr>
        <w:t>14.2</w:t>
      </w:r>
      <w:r w:rsidRPr="001C12F2">
        <w:rPr>
          <w:rFonts w:eastAsia="方正仿宋简体"/>
          <w:bCs/>
          <w:sz w:val="32"/>
          <w:szCs w:val="32"/>
        </w:rPr>
        <w:t>公顷，非建设用地</w:t>
      </w:r>
      <w:r w:rsidRPr="001C12F2">
        <w:rPr>
          <w:rFonts w:eastAsia="方正仿宋简体"/>
          <w:bCs/>
          <w:sz w:val="32"/>
          <w:szCs w:val="32"/>
        </w:rPr>
        <w:t>1.55</w:t>
      </w:r>
      <w:r w:rsidRPr="001C12F2">
        <w:rPr>
          <w:rFonts w:eastAsia="方正仿宋简体"/>
          <w:bCs/>
          <w:sz w:val="32"/>
          <w:szCs w:val="32"/>
        </w:rPr>
        <w:t>公顷。</w:t>
      </w:r>
    </w:p>
    <w:p w:rsidR="00D22D5D" w:rsidRPr="001C12F2" w:rsidRDefault="00D22D5D" w:rsidP="00D22D5D">
      <w:pPr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规划城市建设用地</w:t>
      </w:r>
      <w:r w:rsidRPr="001C12F2">
        <w:rPr>
          <w:rFonts w:eastAsia="方正仿宋简体"/>
          <w:bCs/>
          <w:sz w:val="32"/>
          <w:szCs w:val="32"/>
        </w:rPr>
        <w:t>120.13</w:t>
      </w:r>
      <w:r w:rsidRPr="001C12F2">
        <w:rPr>
          <w:rFonts w:eastAsia="方正仿宋简体"/>
          <w:bCs/>
          <w:sz w:val="32"/>
          <w:szCs w:val="32"/>
        </w:rPr>
        <w:t>公顷，其中</w:t>
      </w:r>
      <w:r w:rsidRPr="001C12F2">
        <w:rPr>
          <w:rFonts w:eastAsia="方正仿宋简体"/>
          <w:bCs/>
          <w:sz w:val="32"/>
          <w:szCs w:val="32"/>
        </w:rPr>
        <w:t>:</w:t>
      </w:r>
      <w:r w:rsidRPr="001C12F2">
        <w:rPr>
          <w:rFonts w:eastAsia="方正仿宋简体"/>
          <w:bCs/>
          <w:sz w:val="32"/>
          <w:szCs w:val="32"/>
        </w:rPr>
        <w:t>规划居住用地规模</w:t>
      </w:r>
      <w:r w:rsidRPr="001C12F2">
        <w:rPr>
          <w:rFonts w:eastAsia="方正仿宋简体"/>
          <w:bCs/>
          <w:sz w:val="32"/>
          <w:szCs w:val="32"/>
        </w:rPr>
        <w:lastRenderedPageBreak/>
        <w:t>29.36</w:t>
      </w:r>
      <w:r w:rsidRPr="001C12F2">
        <w:rPr>
          <w:rFonts w:eastAsia="方正仿宋简体"/>
          <w:bCs/>
          <w:sz w:val="32"/>
          <w:szCs w:val="32"/>
        </w:rPr>
        <w:t>公顷，占城市建设用地的</w:t>
      </w:r>
      <w:r w:rsidRPr="001C12F2">
        <w:rPr>
          <w:rFonts w:eastAsia="方正仿宋简体"/>
          <w:bCs/>
          <w:sz w:val="32"/>
          <w:szCs w:val="32"/>
        </w:rPr>
        <w:t>24.44%;</w:t>
      </w:r>
      <w:r w:rsidRPr="001C12F2">
        <w:rPr>
          <w:rFonts w:eastAsia="方正仿宋简体"/>
          <w:bCs/>
          <w:sz w:val="32"/>
          <w:szCs w:val="32"/>
        </w:rPr>
        <w:t>规划公共管理与公共服务设施用地</w:t>
      </w:r>
      <w:r w:rsidRPr="001C12F2">
        <w:rPr>
          <w:rFonts w:eastAsia="方正仿宋简体"/>
          <w:bCs/>
          <w:sz w:val="32"/>
          <w:szCs w:val="32"/>
        </w:rPr>
        <w:t>15.67</w:t>
      </w:r>
      <w:r w:rsidRPr="001C12F2">
        <w:rPr>
          <w:rFonts w:eastAsia="方正仿宋简体"/>
          <w:bCs/>
          <w:sz w:val="32"/>
          <w:szCs w:val="32"/>
        </w:rPr>
        <w:t>公顷，占城市建设用地的</w:t>
      </w:r>
      <w:r w:rsidRPr="001C12F2">
        <w:rPr>
          <w:rFonts w:eastAsia="方正仿宋简体"/>
          <w:bCs/>
          <w:sz w:val="32"/>
          <w:szCs w:val="32"/>
        </w:rPr>
        <w:t>13.04%;</w:t>
      </w:r>
      <w:r w:rsidRPr="001C12F2">
        <w:rPr>
          <w:rFonts w:eastAsia="方正仿宋简体"/>
          <w:bCs/>
          <w:sz w:val="32"/>
          <w:szCs w:val="32"/>
        </w:rPr>
        <w:t>规划商业服务业设施用地</w:t>
      </w:r>
      <w:r w:rsidRPr="001C12F2">
        <w:rPr>
          <w:rFonts w:eastAsia="方正仿宋简体"/>
          <w:bCs/>
          <w:sz w:val="32"/>
          <w:szCs w:val="32"/>
        </w:rPr>
        <w:t>1.75</w:t>
      </w:r>
      <w:r w:rsidRPr="001C12F2">
        <w:rPr>
          <w:rFonts w:eastAsia="方正仿宋简体"/>
          <w:bCs/>
          <w:sz w:val="32"/>
          <w:szCs w:val="32"/>
        </w:rPr>
        <w:t>公顷，占城市建设用地的</w:t>
      </w:r>
      <w:r w:rsidRPr="001C12F2">
        <w:rPr>
          <w:rFonts w:eastAsia="方正仿宋简体"/>
          <w:bCs/>
          <w:sz w:val="32"/>
          <w:szCs w:val="32"/>
        </w:rPr>
        <w:t>1.46%</w:t>
      </w:r>
      <w:r w:rsidRPr="001C12F2">
        <w:rPr>
          <w:rFonts w:eastAsia="方正仿宋简体"/>
          <w:bCs/>
          <w:sz w:val="32"/>
          <w:szCs w:val="32"/>
        </w:rPr>
        <w:t>；规划道路与交通设施用地</w:t>
      </w:r>
      <w:r w:rsidRPr="001C12F2">
        <w:rPr>
          <w:rFonts w:eastAsia="方正仿宋简体"/>
          <w:bCs/>
          <w:sz w:val="32"/>
          <w:szCs w:val="32"/>
        </w:rPr>
        <w:t>34.32</w:t>
      </w:r>
      <w:r w:rsidRPr="001C12F2">
        <w:rPr>
          <w:rFonts w:eastAsia="方正仿宋简体"/>
          <w:bCs/>
          <w:sz w:val="32"/>
          <w:szCs w:val="32"/>
        </w:rPr>
        <w:t>公顷，占城市建设用地的</w:t>
      </w:r>
      <w:r w:rsidRPr="001C12F2">
        <w:rPr>
          <w:rFonts w:eastAsia="方正仿宋简体"/>
          <w:bCs/>
          <w:sz w:val="32"/>
          <w:szCs w:val="32"/>
        </w:rPr>
        <w:t>28.57%</w:t>
      </w:r>
      <w:r w:rsidRPr="001C12F2">
        <w:rPr>
          <w:rFonts w:eastAsia="方正仿宋简体"/>
          <w:bCs/>
          <w:sz w:val="32"/>
          <w:szCs w:val="32"/>
        </w:rPr>
        <w:t>；规划绿地与广场用地</w:t>
      </w:r>
      <w:r w:rsidRPr="001C12F2">
        <w:rPr>
          <w:rFonts w:eastAsia="方正仿宋简体"/>
          <w:bCs/>
          <w:sz w:val="32"/>
          <w:szCs w:val="32"/>
        </w:rPr>
        <w:t>37.23</w:t>
      </w:r>
      <w:r w:rsidRPr="001C12F2">
        <w:rPr>
          <w:rFonts w:eastAsia="方正仿宋简体"/>
          <w:bCs/>
          <w:sz w:val="32"/>
          <w:szCs w:val="32"/>
        </w:rPr>
        <w:t>公顷，占城市建设用地的</w:t>
      </w:r>
      <w:r w:rsidRPr="001C12F2">
        <w:rPr>
          <w:rFonts w:eastAsia="方正仿宋简体"/>
          <w:bCs/>
          <w:sz w:val="32"/>
          <w:szCs w:val="32"/>
        </w:rPr>
        <w:t>30.99%</w:t>
      </w:r>
      <w:r w:rsidRPr="001C12F2">
        <w:rPr>
          <w:rFonts w:eastAsia="方正仿宋简体"/>
          <w:bCs/>
          <w:sz w:val="32"/>
          <w:szCs w:val="32"/>
        </w:rPr>
        <w:t>，规划留白用地</w:t>
      </w:r>
      <w:r w:rsidRPr="001C12F2">
        <w:rPr>
          <w:rFonts w:eastAsia="方正仿宋简体"/>
          <w:bCs/>
          <w:sz w:val="32"/>
          <w:szCs w:val="32"/>
        </w:rPr>
        <w:t>1.80</w:t>
      </w:r>
      <w:r w:rsidRPr="001C12F2">
        <w:rPr>
          <w:rFonts w:eastAsia="方正仿宋简体"/>
          <w:bCs/>
          <w:sz w:val="32"/>
          <w:szCs w:val="32"/>
        </w:rPr>
        <w:t>公顷，占城市建设用地的</w:t>
      </w:r>
      <w:r w:rsidRPr="001C12F2">
        <w:rPr>
          <w:rFonts w:eastAsia="方正仿宋简体"/>
          <w:bCs/>
          <w:sz w:val="32"/>
          <w:szCs w:val="32"/>
        </w:rPr>
        <w:t>1.5%</w:t>
      </w:r>
      <w:r w:rsidRPr="001C12F2">
        <w:rPr>
          <w:rFonts w:eastAsia="方正仿宋简体"/>
          <w:bCs/>
          <w:sz w:val="32"/>
          <w:szCs w:val="32"/>
        </w:rPr>
        <w:t>。</w:t>
      </w:r>
    </w:p>
    <w:p w:rsidR="00D22D5D" w:rsidRPr="001C12F2" w:rsidRDefault="00D22D5D" w:rsidP="00D22D5D">
      <w:pPr>
        <w:jc w:val="center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noProof/>
          <w:sz w:val="32"/>
          <w:szCs w:val="32"/>
        </w:rPr>
        <w:lastRenderedPageBreak/>
        <w:drawing>
          <wp:inline distT="0" distB="0" distL="0" distR="0">
            <wp:extent cx="4994910" cy="7099300"/>
            <wp:effectExtent l="0" t="0" r="0" b="6350"/>
            <wp:docPr id="2" name="图片 2" descr="09-土地使用规划图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9-土地使用规划图1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5D" w:rsidRPr="001C12F2" w:rsidRDefault="00D22D5D" w:rsidP="00D22D5D">
      <w:pPr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三、公共管理与公共服务设施规划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规划公共管理与公共服务设施用地</w:t>
      </w:r>
      <w:r w:rsidRPr="001C12F2">
        <w:rPr>
          <w:rFonts w:eastAsia="方正仿宋简体"/>
          <w:bCs/>
          <w:sz w:val="32"/>
          <w:szCs w:val="32"/>
        </w:rPr>
        <w:t>15.67</w:t>
      </w:r>
      <w:r w:rsidRPr="001C12F2">
        <w:rPr>
          <w:rFonts w:eastAsia="方正仿宋简体"/>
          <w:bCs/>
          <w:sz w:val="32"/>
          <w:szCs w:val="32"/>
        </w:rPr>
        <w:t>公顷，占城市建设</w:t>
      </w:r>
      <w:r w:rsidRPr="001C12F2">
        <w:rPr>
          <w:rFonts w:eastAsia="方正仿宋简体"/>
          <w:bCs/>
          <w:sz w:val="32"/>
          <w:szCs w:val="32"/>
        </w:rPr>
        <w:lastRenderedPageBreak/>
        <w:t>用地面积的</w:t>
      </w:r>
      <w:r w:rsidRPr="001C12F2">
        <w:rPr>
          <w:rFonts w:eastAsia="方正仿宋简体"/>
          <w:bCs/>
          <w:sz w:val="32"/>
          <w:szCs w:val="32"/>
        </w:rPr>
        <w:t>13.04%</w:t>
      </w:r>
      <w:r w:rsidRPr="001C12F2">
        <w:rPr>
          <w:rFonts w:eastAsia="方正仿宋简体"/>
          <w:bCs/>
          <w:sz w:val="32"/>
          <w:szCs w:val="32"/>
        </w:rPr>
        <w:t>。其中：</w:t>
      </w:r>
    </w:p>
    <w:p w:rsidR="00D22D5D" w:rsidRPr="001C12F2" w:rsidRDefault="00D22D5D" w:rsidP="00D22D5D">
      <w:pPr>
        <w:numPr>
          <w:ilvl w:val="0"/>
          <w:numId w:val="3"/>
        </w:numPr>
        <w:spacing w:line="560" w:lineRule="exact"/>
        <w:ind w:firstLineChars="200" w:firstLine="640"/>
        <w:rPr>
          <w:rFonts w:eastAsia="方正楷体简体"/>
          <w:sz w:val="32"/>
          <w:szCs w:val="32"/>
        </w:rPr>
      </w:pPr>
      <w:r w:rsidRPr="001C12F2">
        <w:rPr>
          <w:rFonts w:eastAsia="方正楷体简体"/>
          <w:sz w:val="32"/>
          <w:szCs w:val="32"/>
        </w:rPr>
        <w:t>行政办公用地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规划行政办公用地</w:t>
      </w:r>
      <w:r w:rsidRPr="001C12F2">
        <w:rPr>
          <w:rFonts w:eastAsia="方正仿宋简体"/>
          <w:bCs/>
          <w:sz w:val="32"/>
          <w:szCs w:val="32"/>
        </w:rPr>
        <w:t>0.33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0.27%</w:t>
      </w:r>
      <w:r w:rsidRPr="001C12F2">
        <w:rPr>
          <w:rFonts w:eastAsia="方正仿宋简体"/>
          <w:bCs/>
          <w:sz w:val="32"/>
          <w:szCs w:val="32"/>
        </w:rPr>
        <w:t>，为火车站站前派出所用地。</w:t>
      </w:r>
    </w:p>
    <w:p w:rsidR="00D22D5D" w:rsidRPr="001C12F2" w:rsidRDefault="00D22D5D" w:rsidP="00D22D5D">
      <w:pPr>
        <w:numPr>
          <w:ilvl w:val="0"/>
          <w:numId w:val="3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教育科研用地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规划保留教育科研用地</w:t>
      </w:r>
      <w:r w:rsidRPr="001C12F2">
        <w:rPr>
          <w:rFonts w:eastAsia="方正仿宋简体"/>
          <w:bCs/>
          <w:sz w:val="32"/>
          <w:szCs w:val="32"/>
        </w:rPr>
        <w:t>6.55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5.45%</w:t>
      </w:r>
      <w:r w:rsidRPr="001C12F2">
        <w:rPr>
          <w:rFonts w:eastAsia="方正仿宋简体"/>
          <w:bCs/>
          <w:sz w:val="32"/>
          <w:szCs w:val="32"/>
        </w:rPr>
        <w:t>。主要为巴中市高级中学用地。</w:t>
      </w:r>
    </w:p>
    <w:p w:rsidR="00D22D5D" w:rsidRPr="001C12F2" w:rsidRDefault="00D22D5D" w:rsidP="00D22D5D">
      <w:pPr>
        <w:numPr>
          <w:ilvl w:val="0"/>
          <w:numId w:val="3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体育用地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规划保留体育用地</w:t>
      </w:r>
      <w:r w:rsidRPr="001C12F2">
        <w:rPr>
          <w:rFonts w:eastAsia="方正仿宋简体"/>
          <w:bCs/>
          <w:sz w:val="32"/>
          <w:szCs w:val="32"/>
        </w:rPr>
        <w:t>4.70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3.91%</w:t>
      </w:r>
      <w:r w:rsidRPr="001C12F2">
        <w:rPr>
          <w:rFonts w:eastAsia="方正仿宋简体"/>
          <w:bCs/>
          <w:sz w:val="32"/>
          <w:szCs w:val="32"/>
        </w:rPr>
        <w:t>。主要为巴中市体育馆用地。</w:t>
      </w:r>
    </w:p>
    <w:p w:rsidR="00D22D5D" w:rsidRPr="001C12F2" w:rsidRDefault="00D22D5D" w:rsidP="00D22D5D">
      <w:pPr>
        <w:numPr>
          <w:ilvl w:val="0"/>
          <w:numId w:val="3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医疗卫生用地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规划医疗卫生用地</w:t>
      </w:r>
      <w:r w:rsidRPr="001C12F2">
        <w:rPr>
          <w:rFonts w:eastAsia="方正仿宋简体"/>
          <w:bCs/>
          <w:sz w:val="32"/>
          <w:szCs w:val="32"/>
        </w:rPr>
        <w:t>1.69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1.41%</w:t>
      </w:r>
      <w:r w:rsidRPr="001C12F2">
        <w:rPr>
          <w:rFonts w:eastAsia="方正仿宋简体"/>
          <w:bCs/>
          <w:sz w:val="32"/>
          <w:szCs w:val="32"/>
        </w:rPr>
        <w:t>。</w:t>
      </w:r>
    </w:p>
    <w:p w:rsidR="00D22D5D" w:rsidRPr="001C12F2" w:rsidRDefault="00D22D5D" w:rsidP="00D22D5D">
      <w:pPr>
        <w:numPr>
          <w:ilvl w:val="0"/>
          <w:numId w:val="3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文物古迹用地</w:t>
      </w:r>
      <w:r w:rsidRPr="001C12F2">
        <w:rPr>
          <w:rFonts w:eastAsia="方正楷体简体"/>
          <w:bCs/>
          <w:sz w:val="32"/>
          <w:szCs w:val="32"/>
        </w:rPr>
        <w:t xml:space="preserve"> 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规划文物古迹用地</w:t>
      </w:r>
      <w:r w:rsidRPr="001C12F2">
        <w:rPr>
          <w:rFonts w:eastAsia="方正仿宋简体"/>
          <w:bCs/>
          <w:sz w:val="32"/>
          <w:szCs w:val="32"/>
        </w:rPr>
        <w:t>2.40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2.0%</w:t>
      </w:r>
      <w:r w:rsidRPr="001C12F2">
        <w:rPr>
          <w:rFonts w:eastAsia="方正仿宋简体"/>
          <w:bCs/>
          <w:sz w:val="32"/>
          <w:szCs w:val="32"/>
        </w:rPr>
        <w:t>。主要为现状保留的北龛寺，寺内北龛摩崖造像为国家级文物保护单位。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四、商业服务业设施用地规划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规划商业服务业设施用地</w:t>
      </w:r>
      <w:r w:rsidRPr="001C12F2">
        <w:rPr>
          <w:rFonts w:eastAsia="方正仿宋简体"/>
          <w:bCs/>
          <w:sz w:val="32"/>
          <w:szCs w:val="32"/>
        </w:rPr>
        <w:t>1.75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1.46%</w:t>
      </w:r>
      <w:r w:rsidRPr="001C12F2">
        <w:rPr>
          <w:rFonts w:eastAsia="方正仿宋简体"/>
          <w:bCs/>
          <w:sz w:val="32"/>
          <w:szCs w:val="32"/>
        </w:rPr>
        <w:t>。其中：</w:t>
      </w:r>
    </w:p>
    <w:p w:rsidR="00D22D5D" w:rsidRPr="001C12F2" w:rsidRDefault="00D22D5D" w:rsidP="00D22D5D">
      <w:pPr>
        <w:numPr>
          <w:ilvl w:val="0"/>
          <w:numId w:val="4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商业设施用地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规划商业设施用地</w:t>
      </w:r>
      <w:r w:rsidRPr="001C12F2">
        <w:rPr>
          <w:rFonts w:eastAsia="方正仿宋简体"/>
          <w:bCs/>
          <w:sz w:val="32"/>
          <w:szCs w:val="32"/>
        </w:rPr>
        <w:t>1.0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0.83%</w:t>
      </w:r>
      <w:r w:rsidRPr="001C12F2">
        <w:rPr>
          <w:rFonts w:eastAsia="方正仿宋简体"/>
          <w:bCs/>
          <w:sz w:val="32"/>
          <w:szCs w:val="32"/>
        </w:rPr>
        <w:t>。主要为现状在建旅馆用地。</w:t>
      </w:r>
    </w:p>
    <w:p w:rsidR="00D22D5D" w:rsidRPr="001C12F2" w:rsidRDefault="00D22D5D" w:rsidP="00D22D5D">
      <w:pPr>
        <w:numPr>
          <w:ilvl w:val="0"/>
          <w:numId w:val="4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公用设施营业网点用地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lastRenderedPageBreak/>
        <w:t>规划公用设施营业网点用地面积</w:t>
      </w:r>
      <w:r w:rsidRPr="001C12F2">
        <w:rPr>
          <w:rFonts w:eastAsia="方正仿宋简体"/>
          <w:bCs/>
          <w:sz w:val="32"/>
          <w:szCs w:val="32"/>
        </w:rPr>
        <w:t>0.75</w:t>
      </w:r>
      <w:r w:rsidRPr="001C12F2">
        <w:rPr>
          <w:rFonts w:eastAsia="方正仿宋简体"/>
          <w:bCs/>
          <w:sz w:val="32"/>
          <w:szCs w:val="32"/>
        </w:rPr>
        <w:t>公顷，占城市建设用地面积的</w:t>
      </w:r>
      <w:r w:rsidRPr="001C12F2">
        <w:rPr>
          <w:rFonts w:eastAsia="方正仿宋简体"/>
          <w:bCs/>
          <w:sz w:val="32"/>
          <w:szCs w:val="32"/>
        </w:rPr>
        <w:t>0.62%</w:t>
      </w:r>
      <w:r w:rsidRPr="001C12F2">
        <w:rPr>
          <w:rFonts w:eastAsia="方正仿宋简体"/>
          <w:bCs/>
          <w:sz w:val="32"/>
          <w:szCs w:val="32"/>
        </w:rPr>
        <w:t>。主要包括现状加油站、规划加气站等设施用地。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五、综合交通规划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1. </w:t>
      </w:r>
      <w:r w:rsidRPr="001C12F2">
        <w:rPr>
          <w:rFonts w:eastAsia="方正楷体简体"/>
          <w:bCs/>
          <w:sz w:val="32"/>
          <w:szCs w:val="32"/>
        </w:rPr>
        <w:t>道路系统结构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考虑规划区对外交通功能，结合规划区功能定位、道路规划断面经济合理等因素，形成过境道路</w:t>
      </w:r>
      <w:r w:rsidRPr="001C12F2">
        <w:rPr>
          <w:rFonts w:eastAsia="方正仿宋简体"/>
          <w:sz w:val="32"/>
          <w:szCs w:val="32"/>
        </w:rPr>
        <w:t>+</w:t>
      </w:r>
      <w:r w:rsidRPr="001C12F2">
        <w:rPr>
          <w:rFonts w:eastAsia="方正仿宋简体"/>
          <w:sz w:val="32"/>
          <w:szCs w:val="32"/>
        </w:rPr>
        <w:t>城市主次支路四级路网系统，实现规划区内外交通的串联。详见如下：</w:t>
      </w:r>
      <w:r w:rsidRPr="001C12F2">
        <w:rPr>
          <w:rFonts w:eastAsia="方正仿宋简体"/>
          <w:sz w:val="32"/>
          <w:szCs w:val="32"/>
        </w:rPr>
        <w:t xml:space="preserve"> 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对外交通：</w:t>
      </w:r>
    </w:p>
    <w:p w:rsidR="00D22D5D" w:rsidRPr="001C12F2" w:rsidRDefault="00D22D5D" w:rsidP="00D22D5D">
      <w:pPr>
        <w:numPr>
          <w:ilvl w:val="0"/>
          <w:numId w:val="5"/>
        </w:num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货运外绕线：道路红线宽度</w:t>
      </w:r>
      <w:r w:rsidRPr="001C12F2">
        <w:rPr>
          <w:rFonts w:eastAsia="方正仿宋简体"/>
          <w:sz w:val="32"/>
          <w:szCs w:val="32"/>
        </w:rPr>
        <w:t>24</w:t>
      </w:r>
      <w:r w:rsidRPr="001C12F2">
        <w:rPr>
          <w:rFonts w:eastAsia="方正仿宋简体"/>
          <w:sz w:val="32"/>
          <w:szCs w:val="32"/>
        </w:rPr>
        <w:t>米。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主干路：</w:t>
      </w:r>
    </w:p>
    <w:p w:rsidR="00D22D5D" w:rsidRPr="001C12F2" w:rsidRDefault="00D22D5D" w:rsidP="00D22D5D">
      <w:pPr>
        <w:numPr>
          <w:ilvl w:val="0"/>
          <w:numId w:val="6"/>
        </w:numPr>
        <w:spacing w:line="560" w:lineRule="exact"/>
        <w:ind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北环线：道路红线宽度</w:t>
      </w:r>
      <w:r w:rsidRPr="001C12F2">
        <w:rPr>
          <w:rFonts w:eastAsia="方正仿宋简体"/>
          <w:sz w:val="32"/>
          <w:szCs w:val="32"/>
        </w:rPr>
        <w:t>32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6"/>
        </w:numPr>
        <w:spacing w:line="560" w:lineRule="exact"/>
        <w:ind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龙北街：道路红线宽度</w:t>
      </w:r>
      <w:r w:rsidRPr="001C12F2">
        <w:rPr>
          <w:rFonts w:eastAsia="方正仿宋简体"/>
          <w:sz w:val="32"/>
          <w:szCs w:val="32"/>
        </w:rPr>
        <w:t>30</w:t>
      </w:r>
      <w:r w:rsidRPr="001C12F2">
        <w:rPr>
          <w:rFonts w:eastAsia="方正仿宋简体"/>
          <w:sz w:val="32"/>
          <w:szCs w:val="32"/>
        </w:rPr>
        <w:t>米。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次干路：</w:t>
      </w:r>
    </w:p>
    <w:p w:rsidR="00D22D5D" w:rsidRPr="001C12F2" w:rsidRDefault="00D22D5D" w:rsidP="00D22D5D">
      <w:pPr>
        <w:numPr>
          <w:ilvl w:val="0"/>
          <w:numId w:val="7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规划七路：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16</w:t>
      </w:r>
      <w:r w:rsidRPr="001C12F2">
        <w:rPr>
          <w:rFonts w:eastAsia="方正仿宋简体"/>
          <w:sz w:val="32"/>
          <w:szCs w:val="32"/>
        </w:rPr>
        <w:t>米和</w:t>
      </w:r>
      <w:r w:rsidRPr="001C12F2">
        <w:rPr>
          <w:rFonts w:eastAsia="方正仿宋简体"/>
          <w:sz w:val="32"/>
          <w:szCs w:val="32"/>
        </w:rPr>
        <w:t>20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7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规划八路：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24</w:t>
      </w:r>
      <w:r w:rsidRPr="001C12F2">
        <w:rPr>
          <w:rFonts w:eastAsia="方正仿宋简体"/>
          <w:sz w:val="32"/>
          <w:szCs w:val="32"/>
        </w:rPr>
        <w:t>米。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支路：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滨河路：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16</w:t>
      </w:r>
      <w:r w:rsidRPr="001C12F2">
        <w:rPr>
          <w:rFonts w:eastAsia="方正仿宋简体"/>
          <w:sz w:val="32"/>
          <w:szCs w:val="32"/>
        </w:rPr>
        <w:t>米和</w:t>
      </w:r>
      <w:r w:rsidRPr="001C12F2">
        <w:rPr>
          <w:rFonts w:eastAsia="方正仿宋简体"/>
          <w:sz w:val="32"/>
          <w:szCs w:val="32"/>
        </w:rPr>
        <w:t>17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规划一路：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24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规划二路：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18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规划三路：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12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规划四路：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12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规划五路：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12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规划九路：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16</w:t>
      </w:r>
      <w:r w:rsidRPr="001C12F2">
        <w:rPr>
          <w:rFonts w:eastAsia="方正仿宋简体"/>
          <w:sz w:val="32"/>
          <w:szCs w:val="32"/>
        </w:rPr>
        <w:t>米；</w:t>
      </w:r>
    </w:p>
    <w:p w:rsidR="00D22D5D" w:rsidRPr="001C12F2" w:rsidRDefault="00D22D5D" w:rsidP="00D22D5D">
      <w:pPr>
        <w:numPr>
          <w:ilvl w:val="0"/>
          <w:numId w:val="8"/>
        </w:numPr>
        <w:spacing w:line="560" w:lineRule="exact"/>
        <w:ind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lastRenderedPageBreak/>
        <w:t>规划十路：</w:t>
      </w:r>
      <w:r w:rsidRPr="001C12F2">
        <w:rPr>
          <w:rFonts w:eastAsia="方正仿宋简体"/>
          <w:sz w:val="32"/>
          <w:szCs w:val="32"/>
        </w:rPr>
        <w:t>道路红线宽度</w:t>
      </w:r>
      <w:r w:rsidRPr="001C12F2">
        <w:rPr>
          <w:rFonts w:eastAsia="方正仿宋简体"/>
          <w:sz w:val="32"/>
          <w:szCs w:val="32"/>
        </w:rPr>
        <w:t>7</w:t>
      </w:r>
      <w:r w:rsidRPr="001C12F2">
        <w:rPr>
          <w:rFonts w:eastAsia="方正仿宋简体"/>
          <w:sz w:val="32"/>
          <w:szCs w:val="32"/>
        </w:rPr>
        <w:t>米。</w:t>
      </w:r>
    </w:p>
    <w:p w:rsidR="00D22D5D" w:rsidRPr="001C12F2" w:rsidRDefault="00D22D5D" w:rsidP="00D22D5D">
      <w:pPr>
        <w:spacing w:line="360" w:lineRule="auto"/>
        <w:jc w:val="center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noProof/>
          <w:sz w:val="32"/>
          <w:szCs w:val="32"/>
        </w:rPr>
        <w:drawing>
          <wp:inline distT="0" distB="0" distL="0" distR="0">
            <wp:extent cx="5279390" cy="7452995"/>
            <wp:effectExtent l="0" t="0" r="0" b="0"/>
            <wp:docPr id="1" name="图片 1" descr="10道路系统规划图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0道路系统规划图1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5D" w:rsidRPr="001C12F2" w:rsidRDefault="00D22D5D" w:rsidP="00D22D5D">
      <w:pPr>
        <w:numPr>
          <w:ilvl w:val="0"/>
          <w:numId w:val="9"/>
        </w:numPr>
        <w:spacing w:line="560" w:lineRule="exact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lastRenderedPageBreak/>
        <w:t>公共交通系统规划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规划交通枢纽用地面积</w:t>
      </w:r>
      <w:r w:rsidRPr="001C12F2">
        <w:rPr>
          <w:rFonts w:eastAsia="方正仿宋简体"/>
          <w:sz w:val="32"/>
          <w:szCs w:val="32"/>
        </w:rPr>
        <w:t>6.79</w:t>
      </w:r>
      <w:r w:rsidRPr="001C12F2">
        <w:rPr>
          <w:rFonts w:eastAsia="方正仿宋简体"/>
          <w:sz w:val="32"/>
          <w:szCs w:val="32"/>
        </w:rPr>
        <w:t>公顷，交通场站用地面积</w:t>
      </w:r>
      <w:r w:rsidRPr="001C12F2">
        <w:rPr>
          <w:rFonts w:eastAsia="方正仿宋简体"/>
          <w:sz w:val="32"/>
          <w:szCs w:val="32"/>
        </w:rPr>
        <w:t>1.58</w:t>
      </w:r>
      <w:r w:rsidRPr="001C12F2">
        <w:rPr>
          <w:rFonts w:eastAsia="方正仿宋简体"/>
          <w:sz w:val="32"/>
          <w:szCs w:val="32"/>
        </w:rPr>
        <w:t>公顷。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规划保留现状铁路客运站与</w:t>
      </w:r>
      <w:r w:rsidRPr="001C12F2">
        <w:rPr>
          <w:rFonts w:eastAsia="方正仿宋简体"/>
          <w:sz w:val="32"/>
          <w:szCs w:val="32"/>
        </w:rPr>
        <w:t>1</w:t>
      </w:r>
      <w:r w:rsidRPr="001C12F2">
        <w:rPr>
          <w:rFonts w:eastAsia="方正仿宋简体"/>
          <w:sz w:val="32"/>
          <w:szCs w:val="32"/>
        </w:rPr>
        <w:t>处加油站，规划新增</w:t>
      </w:r>
      <w:r w:rsidRPr="001C12F2">
        <w:rPr>
          <w:rFonts w:eastAsia="方正仿宋简体"/>
          <w:sz w:val="32"/>
          <w:szCs w:val="32"/>
        </w:rPr>
        <w:t>1</w:t>
      </w:r>
      <w:r w:rsidRPr="001C12F2">
        <w:rPr>
          <w:rFonts w:eastAsia="方正仿宋简体"/>
          <w:sz w:val="32"/>
          <w:szCs w:val="32"/>
        </w:rPr>
        <w:t>处汽车客运站、、</w:t>
      </w:r>
      <w:r w:rsidRPr="001C12F2">
        <w:rPr>
          <w:rFonts w:eastAsia="方正仿宋简体"/>
          <w:sz w:val="32"/>
          <w:szCs w:val="32"/>
        </w:rPr>
        <w:t xml:space="preserve">1 </w:t>
      </w:r>
      <w:r w:rsidRPr="001C12F2">
        <w:rPr>
          <w:rFonts w:eastAsia="方正仿宋简体"/>
          <w:sz w:val="32"/>
          <w:szCs w:val="32"/>
        </w:rPr>
        <w:t>处</w:t>
      </w:r>
      <w:proofErr w:type="gramStart"/>
      <w:r w:rsidRPr="001C12F2">
        <w:rPr>
          <w:rFonts w:eastAsia="方正仿宋简体"/>
          <w:sz w:val="32"/>
          <w:szCs w:val="32"/>
        </w:rPr>
        <w:t>公交首</w:t>
      </w:r>
      <w:proofErr w:type="gramEnd"/>
      <w:r w:rsidRPr="001C12F2">
        <w:rPr>
          <w:rFonts w:eastAsia="方正仿宋简体"/>
          <w:sz w:val="32"/>
          <w:szCs w:val="32"/>
        </w:rPr>
        <w:t>末站、</w:t>
      </w:r>
      <w:r w:rsidRPr="001C12F2">
        <w:rPr>
          <w:rFonts w:eastAsia="方正仿宋简体"/>
          <w:sz w:val="32"/>
          <w:szCs w:val="32"/>
        </w:rPr>
        <w:t xml:space="preserve"> 1</w:t>
      </w:r>
      <w:r w:rsidRPr="001C12F2">
        <w:rPr>
          <w:rFonts w:eastAsia="方正仿宋简体"/>
          <w:sz w:val="32"/>
          <w:szCs w:val="32"/>
        </w:rPr>
        <w:t>处社会停车场以及</w:t>
      </w:r>
      <w:r w:rsidRPr="001C12F2">
        <w:rPr>
          <w:rFonts w:eastAsia="方正仿宋简体"/>
          <w:sz w:val="32"/>
          <w:szCs w:val="32"/>
        </w:rPr>
        <w:t>1</w:t>
      </w:r>
      <w:r w:rsidRPr="001C12F2">
        <w:rPr>
          <w:rFonts w:eastAsia="方正仿宋简体"/>
          <w:sz w:val="32"/>
          <w:szCs w:val="32"/>
        </w:rPr>
        <w:t>处加气站。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公交线网结合城市道路网布局。公交站点根据线路走向以合适的站点距离（</w:t>
      </w:r>
      <w:r w:rsidRPr="001C12F2">
        <w:rPr>
          <w:rFonts w:eastAsia="方正仿宋简体"/>
          <w:sz w:val="32"/>
          <w:szCs w:val="32"/>
        </w:rPr>
        <w:t>400-800</w:t>
      </w:r>
      <w:r w:rsidRPr="001C12F2">
        <w:rPr>
          <w:rFonts w:eastAsia="方正仿宋简体"/>
          <w:sz w:val="32"/>
          <w:szCs w:val="32"/>
        </w:rPr>
        <w:t>米）进行统一规划。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仿宋简体"/>
          <w:sz w:val="32"/>
          <w:szCs w:val="32"/>
        </w:rPr>
        <w:t>六</w:t>
      </w:r>
      <w:r w:rsidRPr="001C12F2">
        <w:rPr>
          <w:rFonts w:eastAsia="方正黑体_GBK"/>
          <w:bCs/>
          <w:sz w:val="32"/>
          <w:szCs w:val="32"/>
        </w:rPr>
        <w:t>、公共开放空间系统规划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1. </w:t>
      </w:r>
      <w:r w:rsidRPr="001C12F2">
        <w:rPr>
          <w:rFonts w:eastAsia="方正楷体简体"/>
          <w:bCs/>
          <w:sz w:val="32"/>
          <w:szCs w:val="32"/>
        </w:rPr>
        <w:t>绿地系统规划</w:t>
      </w:r>
    </w:p>
    <w:p w:rsidR="00D22D5D" w:rsidRPr="001C12F2" w:rsidRDefault="00D22D5D" w:rsidP="00D22D5D">
      <w:pPr>
        <w:spacing w:line="560" w:lineRule="exact"/>
        <w:ind w:firstLineChars="225" w:firstLine="72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规划绿地与广场用地</w:t>
      </w:r>
      <w:r w:rsidRPr="001C12F2">
        <w:rPr>
          <w:rFonts w:eastAsia="方正仿宋简体"/>
          <w:bCs/>
          <w:sz w:val="32"/>
          <w:szCs w:val="32"/>
        </w:rPr>
        <w:t>37.23</w:t>
      </w:r>
      <w:r w:rsidRPr="001C12F2">
        <w:rPr>
          <w:rFonts w:eastAsia="方正仿宋简体"/>
          <w:bCs/>
          <w:sz w:val="32"/>
          <w:szCs w:val="32"/>
        </w:rPr>
        <w:t>公顷，占城市建设用地的</w:t>
      </w:r>
      <w:r w:rsidRPr="001C12F2">
        <w:rPr>
          <w:rFonts w:eastAsia="方正仿宋简体"/>
          <w:bCs/>
          <w:sz w:val="32"/>
          <w:szCs w:val="32"/>
        </w:rPr>
        <w:t>30.99%</w:t>
      </w:r>
      <w:r w:rsidRPr="001C12F2">
        <w:rPr>
          <w:rFonts w:eastAsia="方正仿宋简体"/>
          <w:bCs/>
          <w:sz w:val="32"/>
          <w:szCs w:val="32"/>
        </w:rPr>
        <w:t>，其中公园绿地</w:t>
      </w:r>
      <w:r w:rsidRPr="001C12F2">
        <w:rPr>
          <w:rFonts w:eastAsia="方正仿宋简体"/>
          <w:bCs/>
          <w:sz w:val="32"/>
          <w:szCs w:val="32"/>
        </w:rPr>
        <w:t>17.65</w:t>
      </w:r>
      <w:r w:rsidRPr="001C12F2">
        <w:rPr>
          <w:rFonts w:eastAsia="方正仿宋简体"/>
          <w:bCs/>
          <w:sz w:val="32"/>
          <w:szCs w:val="32"/>
        </w:rPr>
        <w:t>公顷，防护绿地</w:t>
      </w:r>
      <w:r w:rsidRPr="001C12F2">
        <w:rPr>
          <w:rFonts w:eastAsia="方正仿宋简体"/>
          <w:bCs/>
          <w:sz w:val="32"/>
          <w:szCs w:val="32"/>
        </w:rPr>
        <w:t>18.99</w:t>
      </w:r>
      <w:r w:rsidRPr="001C12F2">
        <w:rPr>
          <w:rFonts w:eastAsia="方正仿宋简体"/>
          <w:bCs/>
          <w:sz w:val="32"/>
          <w:szCs w:val="32"/>
        </w:rPr>
        <w:t>公顷，广场用地</w:t>
      </w:r>
      <w:r w:rsidRPr="001C12F2">
        <w:rPr>
          <w:rFonts w:eastAsia="方正仿宋简体"/>
          <w:bCs/>
          <w:sz w:val="32"/>
          <w:szCs w:val="32"/>
        </w:rPr>
        <w:t>0.59</w:t>
      </w:r>
      <w:r w:rsidRPr="001C12F2">
        <w:rPr>
          <w:rFonts w:eastAsia="方正仿宋简体"/>
          <w:bCs/>
          <w:sz w:val="32"/>
          <w:szCs w:val="32"/>
        </w:rPr>
        <w:t>公顷。</w:t>
      </w:r>
    </w:p>
    <w:p w:rsidR="00D22D5D" w:rsidRPr="001C12F2" w:rsidRDefault="00D22D5D" w:rsidP="00D22D5D">
      <w:pPr>
        <w:spacing w:line="560" w:lineRule="exact"/>
        <w:ind w:firstLineChars="225" w:firstLine="72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规划区绿地系统由滨水绿带、社区公园、游园、防护绿地组成。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（</w:t>
      </w:r>
      <w:r w:rsidRPr="001C12F2">
        <w:rPr>
          <w:rFonts w:eastAsia="方正楷体简体"/>
          <w:bCs/>
          <w:sz w:val="32"/>
          <w:szCs w:val="32"/>
        </w:rPr>
        <w:t>1</w:t>
      </w:r>
      <w:r w:rsidRPr="001C12F2">
        <w:rPr>
          <w:rFonts w:eastAsia="方正楷体简体"/>
          <w:bCs/>
          <w:sz w:val="32"/>
          <w:szCs w:val="32"/>
        </w:rPr>
        <w:t>）滨水绿带</w:t>
      </w:r>
    </w:p>
    <w:p w:rsidR="00D22D5D" w:rsidRPr="001C12F2" w:rsidRDefault="00D22D5D" w:rsidP="00D22D5D">
      <w:pPr>
        <w:spacing w:line="560" w:lineRule="exact"/>
        <w:ind w:firstLineChars="225" w:firstLine="72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滨水绿带即沿张家河打造核心景观带，绿化形式结合岸线规划，以人工驳岸、自然驳岸、半人工驳岸为主。滨水驳岸植被以观赏性植物为主，形成由草地、灌木、乔木等组成的多层次立体化的绿化景观系统。在景观设计上可以增加雕塑、亭榭等小品的设计，塑造舒适宜人的滨河两岸绿化景观带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（</w:t>
      </w:r>
      <w:r w:rsidRPr="001C12F2">
        <w:rPr>
          <w:rFonts w:eastAsia="方正楷体简体"/>
          <w:bCs/>
          <w:sz w:val="32"/>
          <w:szCs w:val="32"/>
        </w:rPr>
        <w:t>2</w:t>
      </w:r>
      <w:r w:rsidRPr="001C12F2">
        <w:rPr>
          <w:rFonts w:eastAsia="方正楷体简体"/>
          <w:bCs/>
          <w:sz w:val="32"/>
          <w:szCs w:val="32"/>
        </w:rPr>
        <w:t>）防护绿地</w:t>
      </w:r>
    </w:p>
    <w:p w:rsidR="00D22D5D" w:rsidRPr="001C12F2" w:rsidRDefault="00D22D5D" w:rsidP="00D22D5D">
      <w:pPr>
        <w:spacing w:line="560" w:lineRule="exact"/>
        <w:ind w:firstLineChars="225" w:firstLine="72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防护绿地即在铁路线两侧建设带状防护绿地，同时结合地形条件在高差较大区域设置块状防护绿地。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lastRenderedPageBreak/>
        <w:t>（</w:t>
      </w:r>
      <w:r w:rsidRPr="001C12F2">
        <w:rPr>
          <w:rFonts w:eastAsia="方正楷体简体"/>
          <w:bCs/>
          <w:sz w:val="32"/>
          <w:szCs w:val="32"/>
        </w:rPr>
        <w:t>3</w:t>
      </w:r>
      <w:r w:rsidRPr="001C12F2">
        <w:rPr>
          <w:rFonts w:eastAsia="方正楷体简体"/>
          <w:bCs/>
          <w:sz w:val="32"/>
          <w:szCs w:val="32"/>
        </w:rPr>
        <w:t>）社区公园</w:t>
      </w:r>
    </w:p>
    <w:p w:rsidR="00D22D5D" w:rsidRPr="001C12F2" w:rsidRDefault="00D22D5D" w:rsidP="00D22D5D">
      <w:pPr>
        <w:spacing w:line="560" w:lineRule="exact"/>
        <w:ind w:firstLineChars="225" w:firstLine="72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社区公园主要指小型的街头绿地，是城市重要的组成部分。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七、市政公用设施规划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1. </w:t>
      </w:r>
      <w:r w:rsidRPr="001C12F2">
        <w:rPr>
          <w:rFonts w:eastAsia="方正楷体简体"/>
          <w:bCs/>
          <w:sz w:val="32"/>
          <w:szCs w:val="32"/>
        </w:rPr>
        <w:t>给水工程规划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（</w:t>
      </w:r>
      <w:r w:rsidRPr="001C12F2">
        <w:rPr>
          <w:rFonts w:eastAsia="方正楷体简体"/>
          <w:bCs/>
          <w:sz w:val="32"/>
          <w:szCs w:val="32"/>
        </w:rPr>
        <w:t>1</w:t>
      </w:r>
      <w:r w:rsidRPr="001C12F2">
        <w:rPr>
          <w:rFonts w:eastAsia="方正楷体简体"/>
          <w:bCs/>
          <w:sz w:val="32"/>
          <w:szCs w:val="32"/>
        </w:rPr>
        <w:t>）供水水源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供水水源依托巴中市给水系统，由巴中市第二水厂供水。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（</w:t>
      </w:r>
      <w:r w:rsidRPr="001C12F2">
        <w:rPr>
          <w:rFonts w:eastAsia="方正楷体简体"/>
          <w:bCs/>
          <w:sz w:val="32"/>
          <w:szCs w:val="32"/>
        </w:rPr>
        <w:t>2</w:t>
      </w:r>
      <w:r w:rsidRPr="001C12F2">
        <w:rPr>
          <w:rFonts w:eastAsia="方正楷体简体"/>
          <w:bCs/>
          <w:sz w:val="32"/>
          <w:szCs w:val="32"/>
        </w:rPr>
        <w:t>）用水量预测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规划区最高日用水量为</w:t>
      </w:r>
      <w:r w:rsidRPr="001C12F2">
        <w:rPr>
          <w:rFonts w:eastAsia="方正仿宋简体"/>
          <w:bCs/>
          <w:sz w:val="32"/>
          <w:szCs w:val="32"/>
        </w:rPr>
        <w:t>0.81</w:t>
      </w:r>
      <w:r w:rsidRPr="001C12F2">
        <w:rPr>
          <w:rFonts w:eastAsia="方正仿宋简体"/>
          <w:bCs/>
          <w:sz w:val="32"/>
          <w:szCs w:val="32"/>
        </w:rPr>
        <w:t>万</w:t>
      </w:r>
      <w:r w:rsidRPr="001C12F2">
        <w:rPr>
          <w:rFonts w:eastAsia="方正仿宋简体"/>
          <w:bCs/>
          <w:sz w:val="32"/>
          <w:szCs w:val="32"/>
        </w:rPr>
        <w:t>m³/d</w:t>
      </w:r>
      <w:r w:rsidRPr="001C12F2">
        <w:rPr>
          <w:rFonts w:eastAsia="方正仿宋简体"/>
          <w:bCs/>
          <w:sz w:val="32"/>
          <w:szCs w:val="32"/>
        </w:rPr>
        <w:t>。</w:t>
      </w:r>
      <w:r w:rsidRPr="001C12F2">
        <w:rPr>
          <w:rFonts w:eastAsia="方正仿宋简体"/>
          <w:bCs/>
          <w:sz w:val="32"/>
          <w:szCs w:val="32"/>
        </w:rPr>
        <w:t xml:space="preserve"> </w:t>
      </w:r>
      <w:r w:rsidRPr="001C12F2">
        <w:rPr>
          <w:rFonts w:eastAsia="方正仿宋简体"/>
          <w:bCs/>
          <w:sz w:val="32"/>
          <w:szCs w:val="32"/>
        </w:rPr>
        <w:t>日变化系数取</w:t>
      </w:r>
      <w:r w:rsidRPr="001C12F2">
        <w:rPr>
          <w:rFonts w:eastAsia="方正仿宋简体"/>
          <w:bCs/>
          <w:sz w:val="32"/>
          <w:szCs w:val="32"/>
        </w:rPr>
        <w:t>1.4</w:t>
      </w:r>
      <w:r w:rsidRPr="001C12F2">
        <w:rPr>
          <w:rFonts w:eastAsia="方正仿宋简体"/>
          <w:bCs/>
          <w:sz w:val="32"/>
          <w:szCs w:val="32"/>
        </w:rPr>
        <w:t>，则平均日用水量为</w:t>
      </w:r>
      <w:r w:rsidRPr="001C12F2">
        <w:rPr>
          <w:rFonts w:eastAsia="方正仿宋简体"/>
          <w:bCs/>
          <w:sz w:val="32"/>
          <w:szCs w:val="32"/>
        </w:rPr>
        <w:t>0.58</w:t>
      </w:r>
      <w:r w:rsidRPr="001C12F2">
        <w:rPr>
          <w:rFonts w:eastAsia="方正仿宋简体"/>
          <w:bCs/>
          <w:sz w:val="32"/>
          <w:szCs w:val="32"/>
        </w:rPr>
        <w:t>万</w:t>
      </w:r>
      <w:r w:rsidRPr="001C12F2">
        <w:rPr>
          <w:rFonts w:eastAsia="方正仿宋简体"/>
          <w:bCs/>
          <w:sz w:val="32"/>
          <w:szCs w:val="32"/>
        </w:rPr>
        <w:t>m</w:t>
      </w:r>
      <w:r w:rsidRPr="001C12F2">
        <w:rPr>
          <w:rFonts w:eastAsia="方正仿宋简体"/>
          <w:bCs/>
          <w:sz w:val="32"/>
          <w:szCs w:val="32"/>
          <w:vertAlign w:val="superscript"/>
        </w:rPr>
        <w:t>3</w:t>
      </w:r>
      <w:r w:rsidRPr="001C12F2">
        <w:rPr>
          <w:rFonts w:eastAsia="方正仿宋简体"/>
          <w:bCs/>
          <w:sz w:val="32"/>
          <w:szCs w:val="32"/>
        </w:rPr>
        <w:t>/d</w:t>
      </w:r>
      <w:r w:rsidRPr="001C12F2">
        <w:rPr>
          <w:rFonts w:eastAsia="方正仿宋简体"/>
          <w:bCs/>
          <w:sz w:val="32"/>
          <w:szCs w:val="32"/>
        </w:rPr>
        <w:t>，年用水量为</w:t>
      </w:r>
      <w:r w:rsidRPr="001C12F2">
        <w:rPr>
          <w:rFonts w:eastAsia="方正仿宋简体"/>
          <w:bCs/>
          <w:sz w:val="32"/>
          <w:szCs w:val="32"/>
        </w:rPr>
        <w:t>211.7</w:t>
      </w:r>
      <w:r w:rsidRPr="001C12F2">
        <w:rPr>
          <w:rFonts w:eastAsia="方正仿宋简体"/>
          <w:bCs/>
          <w:sz w:val="32"/>
          <w:szCs w:val="32"/>
        </w:rPr>
        <w:t>万</w:t>
      </w:r>
      <w:r w:rsidRPr="001C12F2">
        <w:rPr>
          <w:rFonts w:eastAsia="方正仿宋简体"/>
          <w:bCs/>
          <w:sz w:val="32"/>
          <w:szCs w:val="32"/>
        </w:rPr>
        <w:t>m</w:t>
      </w:r>
      <w:r w:rsidRPr="001C12F2">
        <w:rPr>
          <w:rFonts w:eastAsia="方正仿宋简体"/>
          <w:bCs/>
          <w:sz w:val="32"/>
          <w:szCs w:val="32"/>
          <w:vertAlign w:val="superscript"/>
        </w:rPr>
        <w:t>3</w:t>
      </w:r>
      <w:r w:rsidRPr="001C12F2">
        <w:rPr>
          <w:rFonts w:eastAsia="方正仿宋简体"/>
          <w:bCs/>
          <w:sz w:val="32"/>
          <w:szCs w:val="32"/>
        </w:rPr>
        <w:t>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2. </w:t>
      </w:r>
      <w:r w:rsidRPr="001C12F2">
        <w:rPr>
          <w:rFonts w:eastAsia="方正楷体简体"/>
          <w:bCs/>
          <w:sz w:val="32"/>
          <w:szCs w:val="32"/>
        </w:rPr>
        <w:t>排水工程规划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规划期末平均日污水总量为</w:t>
      </w:r>
      <w:r w:rsidRPr="001C12F2">
        <w:rPr>
          <w:rFonts w:eastAsia="方正仿宋简体"/>
          <w:bCs/>
          <w:sz w:val="32"/>
          <w:szCs w:val="32"/>
        </w:rPr>
        <w:t>0.65</w:t>
      </w:r>
      <w:r w:rsidRPr="001C12F2">
        <w:rPr>
          <w:rFonts w:eastAsia="方正仿宋简体"/>
          <w:bCs/>
          <w:sz w:val="32"/>
          <w:szCs w:val="32"/>
        </w:rPr>
        <w:t>万</w:t>
      </w:r>
      <w:r w:rsidRPr="001C12F2">
        <w:rPr>
          <w:rFonts w:eastAsia="方正仿宋简体"/>
          <w:bCs/>
          <w:sz w:val="32"/>
          <w:szCs w:val="32"/>
        </w:rPr>
        <w:t xml:space="preserve"> m</w:t>
      </w:r>
      <w:r w:rsidRPr="001C12F2">
        <w:rPr>
          <w:rFonts w:eastAsia="方正仿宋简体"/>
          <w:bCs/>
          <w:sz w:val="32"/>
          <w:szCs w:val="32"/>
          <w:vertAlign w:val="superscript"/>
        </w:rPr>
        <w:t>3</w:t>
      </w:r>
      <w:r w:rsidRPr="001C12F2">
        <w:rPr>
          <w:rFonts w:eastAsia="方正仿宋简体"/>
          <w:bCs/>
          <w:sz w:val="32"/>
          <w:szCs w:val="32"/>
        </w:rPr>
        <w:t>/d</w:t>
      </w:r>
      <w:r w:rsidRPr="001C12F2">
        <w:rPr>
          <w:rFonts w:eastAsia="方正仿宋简体"/>
          <w:bCs/>
          <w:sz w:val="32"/>
          <w:szCs w:val="32"/>
        </w:rPr>
        <w:t>，污水集中处理率为</w:t>
      </w:r>
      <w:r w:rsidRPr="001C12F2">
        <w:rPr>
          <w:rFonts w:eastAsia="方正仿宋简体"/>
          <w:bCs/>
          <w:sz w:val="32"/>
          <w:szCs w:val="32"/>
        </w:rPr>
        <w:t>100%</w:t>
      </w:r>
      <w:r w:rsidRPr="001C12F2">
        <w:rPr>
          <w:rFonts w:eastAsia="方正仿宋简体"/>
          <w:bCs/>
          <w:sz w:val="32"/>
          <w:szCs w:val="32"/>
        </w:rPr>
        <w:t>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3. </w:t>
      </w:r>
      <w:r w:rsidRPr="001C12F2">
        <w:rPr>
          <w:rFonts w:eastAsia="方正楷体简体"/>
          <w:bCs/>
          <w:sz w:val="32"/>
          <w:szCs w:val="32"/>
        </w:rPr>
        <w:t>电力工程规划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（</w:t>
      </w:r>
      <w:r w:rsidRPr="001C12F2">
        <w:rPr>
          <w:rFonts w:eastAsia="方正楷体简体"/>
          <w:bCs/>
          <w:sz w:val="32"/>
          <w:szCs w:val="32"/>
        </w:rPr>
        <w:t>1</w:t>
      </w:r>
      <w:r w:rsidRPr="001C12F2">
        <w:rPr>
          <w:rFonts w:eastAsia="方正楷体简体"/>
          <w:bCs/>
          <w:sz w:val="32"/>
          <w:szCs w:val="32"/>
        </w:rPr>
        <w:t>）供电电源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规划范围近期电源由现状</w:t>
      </w:r>
      <w:r w:rsidRPr="001C12F2">
        <w:rPr>
          <w:rFonts w:eastAsia="方正仿宋简体"/>
          <w:bCs/>
          <w:sz w:val="32"/>
          <w:szCs w:val="32"/>
        </w:rPr>
        <w:t>110kV</w:t>
      </w:r>
      <w:r w:rsidRPr="001C12F2">
        <w:rPr>
          <w:rFonts w:eastAsia="方正仿宋简体"/>
          <w:bCs/>
          <w:sz w:val="32"/>
          <w:szCs w:val="32"/>
        </w:rPr>
        <w:t>玉堂变电站提供，规模</w:t>
      </w:r>
      <w:r w:rsidRPr="001C12F2">
        <w:rPr>
          <w:rFonts w:eastAsia="方正仿宋简体"/>
          <w:bCs/>
          <w:sz w:val="32"/>
          <w:szCs w:val="32"/>
        </w:rPr>
        <w:t>3*63 MVA</w:t>
      </w:r>
      <w:r w:rsidRPr="001C12F2">
        <w:rPr>
          <w:rFonts w:eastAsia="方正仿宋简体"/>
          <w:bCs/>
          <w:sz w:val="32"/>
          <w:szCs w:val="32"/>
        </w:rPr>
        <w:t>，远期电源由现状</w:t>
      </w:r>
      <w:r w:rsidRPr="001C12F2">
        <w:rPr>
          <w:rFonts w:eastAsia="方正仿宋简体"/>
          <w:bCs/>
          <w:sz w:val="32"/>
          <w:szCs w:val="32"/>
        </w:rPr>
        <w:t>110kV</w:t>
      </w:r>
      <w:r w:rsidRPr="001C12F2">
        <w:rPr>
          <w:rFonts w:eastAsia="方正仿宋简体"/>
          <w:bCs/>
          <w:sz w:val="32"/>
          <w:szCs w:val="32"/>
        </w:rPr>
        <w:t>玉堂变电站与规划</w:t>
      </w:r>
      <w:r w:rsidRPr="001C12F2">
        <w:rPr>
          <w:rFonts w:eastAsia="方正仿宋简体"/>
          <w:bCs/>
          <w:sz w:val="32"/>
          <w:szCs w:val="32"/>
        </w:rPr>
        <w:t>500kV</w:t>
      </w:r>
      <w:r w:rsidRPr="001C12F2">
        <w:rPr>
          <w:rFonts w:eastAsia="方正仿宋简体"/>
          <w:bCs/>
          <w:sz w:val="32"/>
          <w:szCs w:val="32"/>
        </w:rPr>
        <w:t>巴中变电站联网供电，</w:t>
      </w:r>
      <w:r w:rsidRPr="001C12F2">
        <w:rPr>
          <w:rFonts w:eastAsia="方正仿宋简体"/>
          <w:bCs/>
          <w:sz w:val="32"/>
          <w:szCs w:val="32"/>
        </w:rPr>
        <w:t>500kV</w:t>
      </w:r>
      <w:r w:rsidRPr="001C12F2">
        <w:rPr>
          <w:rFonts w:eastAsia="方正仿宋简体"/>
          <w:bCs/>
          <w:sz w:val="32"/>
          <w:szCs w:val="32"/>
        </w:rPr>
        <w:t>巴中变电站规模</w:t>
      </w:r>
      <w:r w:rsidRPr="001C12F2">
        <w:rPr>
          <w:rFonts w:eastAsia="方正仿宋简体"/>
          <w:bCs/>
          <w:sz w:val="32"/>
          <w:szCs w:val="32"/>
        </w:rPr>
        <w:t>2×750MVA</w:t>
      </w:r>
      <w:r w:rsidRPr="001C12F2">
        <w:rPr>
          <w:rFonts w:eastAsia="方正仿宋简体"/>
          <w:bCs/>
          <w:sz w:val="32"/>
          <w:szCs w:val="32"/>
        </w:rPr>
        <w:t>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4. </w:t>
      </w:r>
      <w:r w:rsidRPr="001C12F2">
        <w:rPr>
          <w:rFonts w:eastAsia="方正楷体简体"/>
          <w:bCs/>
          <w:sz w:val="32"/>
          <w:szCs w:val="32"/>
        </w:rPr>
        <w:t>电力负荷预测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规划期末用电负荷为</w:t>
      </w:r>
      <w:r w:rsidRPr="001C12F2">
        <w:rPr>
          <w:rFonts w:eastAsia="方正仿宋简体"/>
          <w:bCs/>
          <w:sz w:val="32"/>
          <w:szCs w:val="32"/>
        </w:rPr>
        <w:t>1.44</w:t>
      </w:r>
      <w:r w:rsidRPr="001C12F2">
        <w:rPr>
          <w:rFonts w:eastAsia="方正仿宋简体"/>
          <w:bCs/>
          <w:sz w:val="32"/>
          <w:szCs w:val="32"/>
        </w:rPr>
        <w:t>万</w:t>
      </w:r>
      <w:r w:rsidRPr="001C12F2">
        <w:rPr>
          <w:rFonts w:eastAsia="方正仿宋简体"/>
          <w:bCs/>
          <w:sz w:val="32"/>
          <w:szCs w:val="32"/>
        </w:rPr>
        <w:t>KW</w:t>
      </w:r>
      <w:r w:rsidRPr="001C12F2">
        <w:rPr>
          <w:rFonts w:eastAsia="方正仿宋简体"/>
          <w:bCs/>
          <w:sz w:val="32"/>
          <w:szCs w:val="32"/>
        </w:rPr>
        <w:t>，用电负荷密度为</w:t>
      </w:r>
      <w:r w:rsidRPr="001C12F2">
        <w:rPr>
          <w:rFonts w:eastAsia="方正仿宋简体"/>
          <w:bCs/>
          <w:sz w:val="32"/>
          <w:szCs w:val="32"/>
        </w:rPr>
        <w:t>1.13</w:t>
      </w:r>
      <w:r w:rsidRPr="001C12F2">
        <w:rPr>
          <w:rFonts w:eastAsia="方正仿宋简体"/>
          <w:bCs/>
          <w:sz w:val="32"/>
          <w:szCs w:val="32"/>
        </w:rPr>
        <w:t>万千瓦</w:t>
      </w:r>
      <w:r w:rsidRPr="001C12F2">
        <w:rPr>
          <w:rFonts w:eastAsia="方正仿宋简体"/>
          <w:bCs/>
          <w:sz w:val="32"/>
          <w:szCs w:val="32"/>
        </w:rPr>
        <w:t>/</w:t>
      </w:r>
      <w:r w:rsidRPr="001C12F2">
        <w:rPr>
          <w:rFonts w:eastAsia="方正仿宋简体"/>
          <w:bCs/>
          <w:sz w:val="32"/>
          <w:szCs w:val="32"/>
        </w:rPr>
        <w:t>平方公里。</w:t>
      </w:r>
    </w:p>
    <w:p w:rsidR="00D22D5D" w:rsidRPr="001C12F2" w:rsidRDefault="00D22D5D" w:rsidP="00D22D5D">
      <w:pPr>
        <w:numPr>
          <w:ilvl w:val="0"/>
          <w:numId w:val="4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通信工程规划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北龛片区通信设施主要依托巴州区邮政所、邮政代办点，规划范围内不再新增通信设施。</w:t>
      </w:r>
    </w:p>
    <w:p w:rsidR="00D22D5D" w:rsidRPr="001C12F2" w:rsidRDefault="00D22D5D" w:rsidP="00D22D5D">
      <w:pPr>
        <w:numPr>
          <w:ilvl w:val="0"/>
          <w:numId w:val="4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lastRenderedPageBreak/>
        <w:t>燃气工程规划</w:t>
      </w:r>
    </w:p>
    <w:p w:rsidR="00D22D5D" w:rsidRPr="001C12F2" w:rsidRDefault="00D22D5D" w:rsidP="00D22D5D">
      <w:pPr>
        <w:numPr>
          <w:ilvl w:val="0"/>
          <w:numId w:val="10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气源及供气设施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天然气气源为元坝净化厂和</w:t>
      </w:r>
      <w:proofErr w:type="gramStart"/>
      <w:r w:rsidRPr="001C12F2">
        <w:rPr>
          <w:rFonts w:eastAsia="方正仿宋简体"/>
          <w:bCs/>
          <w:sz w:val="32"/>
          <w:szCs w:val="32"/>
        </w:rPr>
        <w:t>普光</w:t>
      </w:r>
      <w:proofErr w:type="gramEnd"/>
      <w:r w:rsidRPr="001C12F2">
        <w:rPr>
          <w:rFonts w:eastAsia="方正仿宋简体"/>
          <w:bCs/>
          <w:sz w:val="32"/>
          <w:szCs w:val="32"/>
        </w:rPr>
        <w:t>净化厂，由平梁山配气站供气。</w:t>
      </w:r>
    </w:p>
    <w:p w:rsidR="00D22D5D" w:rsidRPr="001C12F2" w:rsidRDefault="00D22D5D" w:rsidP="00D22D5D">
      <w:pPr>
        <w:numPr>
          <w:ilvl w:val="0"/>
          <w:numId w:val="10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用气量预测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规划城区居民综合用气指标取</w:t>
      </w:r>
      <w:r w:rsidRPr="001C12F2">
        <w:rPr>
          <w:rFonts w:eastAsia="方正仿宋简体"/>
          <w:bCs/>
          <w:sz w:val="32"/>
          <w:szCs w:val="32"/>
        </w:rPr>
        <w:t>0.40</w:t>
      </w:r>
      <w:r w:rsidRPr="001C12F2">
        <w:rPr>
          <w:rFonts w:eastAsia="方正仿宋简体"/>
          <w:bCs/>
          <w:sz w:val="32"/>
          <w:szCs w:val="32"/>
        </w:rPr>
        <w:t>立方米</w:t>
      </w:r>
      <w:r w:rsidRPr="001C12F2">
        <w:rPr>
          <w:rFonts w:eastAsia="方正仿宋简体"/>
          <w:bCs/>
          <w:sz w:val="32"/>
          <w:szCs w:val="32"/>
        </w:rPr>
        <w:t>/</w:t>
      </w:r>
      <w:r w:rsidRPr="001C12F2">
        <w:rPr>
          <w:rFonts w:eastAsia="方正仿宋简体"/>
          <w:bCs/>
          <w:sz w:val="32"/>
          <w:szCs w:val="32"/>
        </w:rPr>
        <w:t>人</w:t>
      </w:r>
      <w:r w:rsidRPr="001C12F2">
        <w:rPr>
          <w:rFonts w:eastAsia="方正仿宋简体"/>
          <w:bCs/>
          <w:sz w:val="32"/>
          <w:szCs w:val="32"/>
        </w:rPr>
        <w:t>·</w:t>
      </w:r>
      <w:r w:rsidRPr="001C12F2">
        <w:rPr>
          <w:rFonts w:eastAsia="方正仿宋简体"/>
          <w:bCs/>
          <w:sz w:val="32"/>
          <w:szCs w:val="32"/>
        </w:rPr>
        <w:t>日，用气普及率为</w:t>
      </w:r>
      <w:r w:rsidRPr="001C12F2">
        <w:rPr>
          <w:rFonts w:eastAsia="方正仿宋简体"/>
          <w:bCs/>
          <w:sz w:val="32"/>
          <w:szCs w:val="32"/>
        </w:rPr>
        <w:t>100%</w:t>
      </w:r>
      <w:r w:rsidRPr="001C12F2">
        <w:rPr>
          <w:rFonts w:eastAsia="方正仿宋简体"/>
          <w:bCs/>
          <w:sz w:val="32"/>
          <w:szCs w:val="32"/>
        </w:rPr>
        <w:t>；商业用气量占居民生活用气量的比例取</w:t>
      </w:r>
      <w:r w:rsidRPr="001C12F2">
        <w:rPr>
          <w:rFonts w:eastAsia="方正仿宋简体"/>
          <w:bCs/>
          <w:sz w:val="32"/>
          <w:szCs w:val="32"/>
        </w:rPr>
        <w:t>40%</w:t>
      </w:r>
      <w:r w:rsidRPr="001C12F2">
        <w:rPr>
          <w:rFonts w:eastAsia="方正仿宋简体"/>
          <w:bCs/>
          <w:sz w:val="32"/>
          <w:szCs w:val="32"/>
        </w:rPr>
        <w:t>。规划北龛片区天然气需求量为</w:t>
      </w:r>
      <w:r w:rsidRPr="001C12F2">
        <w:rPr>
          <w:rFonts w:eastAsia="方正仿宋简体"/>
          <w:bCs/>
          <w:sz w:val="32"/>
          <w:szCs w:val="32"/>
        </w:rPr>
        <w:t>6700</w:t>
      </w:r>
      <w:r w:rsidRPr="001C12F2">
        <w:rPr>
          <w:rFonts w:eastAsia="方正仿宋简体"/>
          <w:bCs/>
          <w:sz w:val="32"/>
          <w:szCs w:val="32"/>
        </w:rPr>
        <w:t>立方米</w:t>
      </w:r>
      <w:r w:rsidRPr="001C12F2">
        <w:rPr>
          <w:rFonts w:eastAsia="方正仿宋简体"/>
          <w:bCs/>
          <w:sz w:val="32"/>
          <w:szCs w:val="32"/>
        </w:rPr>
        <w:t>/</w:t>
      </w:r>
      <w:r w:rsidRPr="001C12F2">
        <w:rPr>
          <w:rFonts w:eastAsia="方正仿宋简体"/>
          <w:bCs/>
          <w:sz w:val="32"/>
          <w:szCs w:val="32"/>
        </w:rPr>
        <w:t>人</w:t>
      </w:r>
      <w:r w:rsidRPr="001C12F2">
        <w:rPr>
          <w:rFonts w:eastAsia="方正仿宋简体"/>
          <w:bCs/>
          <w:sz w:val="32"/>
          <w:szCs w:val="32"/>
        </w:rPr>
        <w:t>·</w:t>
      </w:r>
      <w:r w:rsidRPr="001C12F2">
        <w:rPr>
          <w:rFonts w:eastAsia="方正仿宋简体"/>
          <w:bCs/>
          <w:sz w:val="32"/>
          <w:szCs w:val="32"/>
        </w:rPr>
        <w:t>日。</w:t>
      </w:r>
    </w:p>
    <w:p w:rsidR="00D22D5D" w:rsidRPr="001C12F2" w:rsidRDefault="00D22D5D" w:rsidP="00D22D5D">
      <w:pPr>
        <w:numPr>
          <w:ilvl w:val="0"/>
          <w:numId w:val="4"/>
        </w:num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管线综合规划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（</w:t>
      </w:r>
      <w:r w:rsidRPr="001C12F2">
        <w:rPr>
          <w:rFonts w:eastAsia="方正楷体简体"/>
          <w:bCs/>
          <w:sz w:val="32"/>
          <w:szCs w:val="32"/>
        </w:rPr>
        <w:t>1</w:t>
      </w:r>
      <w:r w:rsidRPr="001C12F2">
        <w:rPr>
          <w:rFonts w:eastAsia="方正楷体简体"/>
          <w:bCs/>
          <w:sz w:val="32"/>
          <w:szCs w:val="32"/>
        </w:rPr>
        <w:t>）管线位置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规划管线沿道路敷设时原则上污水管、电信管、燃气管位于路西或路北；给水管、电力管位于路东或路南。雨水管在道路东侧或南侧道路下，两侧布置。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>（</w:t>
      </w:r>
      <w:r w:rsidRPr="001C12F2">
        <w:rPr>
          <w:rFonts w:eastAsia="方正楷体简体"/>
          <w:bCs/>
          <w:sz w:val="32"/>
          <w:szCs w:val="32"/>
        </w:rPr>
        <w:t>2</w:t>
      </w:r>
      <w:r w:rsidRPr="001C12F2">
        <w:rPr>
          <w:rFonts w:eastAsia="方正楷体简体"/>
          <w:bCs/>
          <w:sz w:val="32"/>
          <w:szCs w:val="32"/>
        </w:rPr>
        <w:t>）管线布置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水平布置：由路南至路北或由路东至路西依次为：电力管、给水管、雨水管、污水管、燃气管、电信管。它们之间的最小水平</w:t>
      </w:r>
      <w:proofErr w:type="gramStart"/>
      <w:r w:rsidRPr="001C12F2">
        <w:rPr>
          <w:rFonts w:eastAsia="方正仿宋简体"/>
          <w:bCs/>
          <w:sz w:val="32"/>
          <w:szCs w:val="32"/>
        </w:rPr>
        <w:t>净距需满足</w:t>
      </w:r>
      <w:proofErr w:type="gramEnd"/>
      <w:r w:rsidRPr="001C12F2">
        <w:rPr>
          <w:rFonts w:eastAsia="方正仿宋简体"/>
          <w:bCs/>
          <w:sz w:val="32"/>
          <w:szCs w:val="32"/>
        </w:rPr>
        <w:t>规范要求。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垂直布置：工程管线交叉敷设时，自路面向下的排列顺序为：电力管、电信管、燃气管、给水管、雨水管、污水管。工程管线交叉时，相互之间的最小垂直间距需满足规范要求。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八、环卫工程规划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北龛片区垃圾总量为</w:t>
      </w:r>
      <w:r w:rsidRPr="001C12F2">
        <w:rPr>
          <w:rFonts w:eastAsia="方正仿宋简体"/>
          <w:bCs/>
          <w:sz w:val="32"/>
          <w:szCs w:val="32"/>
        </w:rPr>
        <w:t>1.2</w:t>
      </w:r>
      <w:r w:rsidRPr="001C12F2">
        <w:rPr>
          <w:rFonts w:eastAsia="方正仿宋简体"/>
          <w:bCs/>
          <w:sz w:val="32"/>
          <w:szCs w:val="32"/>
        </w:rPr>
        <w:t>吨</w:t>
      </w:r>
      <w:r w:rsidRPr="001C12F2">
        <w:rPr>
          <w:rFonts w:eastAsia="方正仿宋简体"/>
          <w:bCs/>
          <w:sz w:val="32"/>
          <w:szCs w:val="32"/>
        </w:rPr>
        <w:t>/</w:t>
      </w:r>
      <w:r w:rsidRPr="001C12F2">
        <w:rPr>
          <w:rFonts w:eastAsia="方正仿宋简体"/>
          <w:bCs/>
          <w:sz w:val="32"/>
          <w:szCs w:val="32"/>
        </w:rPr>
        <w:t>日，规划要求对生活垃圾进行分类，推广垃圾袋装化，袋装收集率达到</w:t>
      </w:r>
      <w:r w:rsidRPr="001C12F2">
        <w:rPr>
          <w:rFonts w:eastAsia="方正仿宋简体"/>
          <w:bCs/>
          <w:sz w:val="32"/>
          <w:szCs w:val="32"/>
        </w:rPr>
        <w:t>100%</w:t>
      </w:r>
      <w:r w:rsidRPr="001C12F2">
        <w:rPr>
          <w:rFonts w:eastAsia="方正仿宋简体"/>
          <w:bCs/>
          <w:sz w:val="32"/>
          <w:szCs w:val="32"/>
        </w:rPr>
        <w:t>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lastRenderedPageBreak/>
        <w:t>生活垃圾收集点的服务半径不宜超过</w:t>
      </w:r>
      <w:r w:rsidRPr="001C12F2">
        <w:rPr>
          <w:rFonts w:eastAsia="方正仿宋简体"/>
          <w:bCs/>
          <w:sz w:val="32"/>
          <w:szCs w:val="32"/>
        </w:rPr>
        <w:t>70m</w:t>
      </w:r>
      <w:r w:rsidRPr="001C12F2">
        <w:rPr>
          <w:rFonts w:eastAsia="方正仿宋简体"/>
          <w:bCs/>
          <w:sz w:val="32"/>
          <w:szCs w:val="32"/>
        </w:rPr>
        <w:t>，用地面积不小于</w:t>
      </w:r>
      <w:r w:rsidRPr="001C12F2">
        <w:rPr>
          <w:rFonts w:eastAsia="方正仿宋简体"/>
          <w:bCs/>
          <w:sz w:val="32"/>
          <w:szCs w:val="32"/>
        </w:rPr>
        <w:t>40</w:t>
      </w:r>
      <w:r w:rsidRPr="001C12F2">
        <w:rPr>
          <w:rFonts w:eastAsia="方正仿宋简体"/>
          <w:bCs/>
          <w:sz w:val="32"/>
          <w:szCs w:val="32"/>
        </w:rPr>
        <w:t>平方米，与周围建筑间隔不小于</w:t>
      </w:r>
      <w:r w:rsidRPr="001C12F2">
        <w:rPr>
          <w:rFonts w:eastAsia="方正仿宋简体"/>
          <w:bCs/>
          <w:sz w:val="32"/>
          <w:szCs w:val="32"/>
        </w:rPr>
        <w:t>5m</w:t>
      </w:r>
      <w:r w:rsidRPr="001C12F2">
        <w:rPr>
          <w:rFonts w:eastAsia="方正仿宋简体"/>
          <w:bCs/>
          <w:sz w:val="32"/>
          <w:szCs w:val="32"/>
        </w:rPr>
        <w:t>；主要街道按标准配置废物箱，商业街按间距</w:t>
      </w:r>
      <w:r w:rsidRPr="001C12F2">
        <w:rPr>
          <w:rFonts w:eastAsia="方正仿宋简体"/>
          <w:bCs/>
          <w:sz w:val="32"/>
          <w:szCs w:val="32"/>
        </w:rPr>
        <w:t>50</w:t>
      </w:r>
      <w:r w:rsidRPr="001C12F2">
        <w:rPr>
          <w:rFonts w:eastAsia="方正仿宋简体"/>
          <w:bCs/>
          <w:sz w:val="32"/>
          <w:szCs w:val="32"/>
        </w:rPr>
        <w:t>米，交通干道按间距</w:t>
      </w:r>
      <w:r w:rsidRPr="001C12F2">
        <w:rPr>
          <w:rFonts w:eastAsia="方正仿宋简体"/>
          <w:bCs/>
          <w:sz w:val="32"/>
          <w:szCs w:val="32"/>
        </w:rPr>
        <w:t>100-200</w:t>
      </w:r>
      <w:r w:rsidRPr="001C12F2">
        <w:rPr>
          <w:rFonts w:eastAsia="方正仿宋简体"/>
          <w:bCs/>
          <w:sz w:val="32"/>
          <w:szCs w:val="32"/>
        </w:rPr>
        <w:t>米，一般道路按间距</w:t>
      </w:r>
      <w:r w:rsidRPr="001C12F2">
        <w:rPr>
          <w:rFonts w:eastAsia="方正仿宋简体"/>
          <w:bCs/>
          <w:sz w:val="32"/>
          <w:szCs w:val="32"/>
        </w:rPr>
        <w:t>200-400</w:t>
      </w:r>
      <w:r w:rsidRPr="001C12F2">
        <w:rPr>
          <w:rFonts w:eastAsia="方正仿宋简体"/>
          <w:bCs/>
          <w:sz w:val="32"/>
          <w:szCs w:val="32"/>
        </w:rPr>
        <w:t>米，居住区内主要道路按间距</w:t>
      </w:r>
      <w:r w:rsidRPr="001C12F2">
        <w:rPr>
          <w:rFonts w:eastAsia="方正仿宋简体"/>
          <w:bCs/>
          <w:sz w:val="32"/>
          <w:szCs w:val="32"/>
        </w:rPr>
        <w:t>100</w:t>
      </w:r>
      <w:r w:rsidRPr="001C12F2">
        <w:rPr>
          <w:rFonts w:eastAsia="方正仿宋简体"/>
          <w:bCs/>
          <w:sz w:val="32"/>
          <w:szCs w:val="32"/>
        </w:rPr>
        <w:t>米设置。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规划以一、二类水冲式公共厕所为主，</w:t>
      </w:r>
      <w:proofErr w:type="gramStart"/>
      <w:r w:rsidRPr="001C12F2">
        <w:rPr>
          <w:rFonts w:eastAsia="方正仿宋简体"/>
          <w:bCs/>
          <w:sz w:val="32"/>
          <w:szCs w:val="32"/>
        </w:rPr>
        <w:t>规划按</w:t>
      </w:r>
      <w:proofErr w:type="gramEnd"/>
      <w:r w:rsidRPr="001C12F2">
        <w:rPr>
          <w:rFonts w:eastAsia="方正仿宋简体"/>
          <w:bCs/>
          <w:sz w:val="32"/>
          <w:szCs w:val="32"/>
        </w:rPr>
        <w:t>服务半径</w:t>
      </w:r>
      <w:r w:rsidRPr="001C12F2">
        <w:rPr>
          <w:rFonts w:eastAsia="方正仿宋简体"/>
          <w:bCs/>
          <w:sz w:val="32"/>
          <w:szCs w:val="32"/>
        </w:rPr>
        <w:t>300m-500m</w:t>
      </w:r>
      <w:r w:rsidRPr="001C12F2">
        <w:rPr>
          <w:rFonts w:eastAsia="方正仿宋简体"/>
          <w:bCs/>
          <w:sz w:val="32"/>
          <w:szCs w:val="32"/>
        </w:rPr>
        <w:t>设置公共厕所，规划范围内下列范围应设置公共厕所：</w:t>
      </w:r>
      <w:bookmarkStart w:id="1" w:name="_Toc120948842"/>
      <w:r w:rsidRPr="001C12F2">
        <w:rPr>
          <w:rFonts w:eastAsia="方正仿宋简体"/>
          <w:bCs/>
          <w:sz w:val="32"/>
          <w:szCs w:val="32"/>
        </w:rPr>
        <w:t>商业区、客运交通枢纽、体育场馆、游乐场所、广场、公园等人流集散场所附近。</w:t>
      </w:r>
    </w:p>
    <w:bookmarkEnd w:id="1"/>
    <w:p w:rsidR="00D22D5D" w:rsidRPr="001C12F2" w:rsidRDefault="00D22D5D" w:rsidP="00D22D5D">
      <w:pPr>
        <w:spacing w:line="560" w:lineRule="exact"/>
        <w:ind w:firstLineChars="200" w:firstLine="640"/>
        <w:rPr>
          <w:rFonts w:eastAsia="方正黑体_GBK"/>
          <w:bCs/>
          <w:sz w:val="32"/>
          <w:szCs w:val="32"/>
        </w:rPr>
      </w:pPr>
      <w:r w:rsidRPr="001C12F2">
        <w:rPr>
          <w:rFonts w:eastAsia="方正黑体_GBK"/>
          <w:bCs/>
          <w:sz w:val="32"/>
          <w:szCs w:val="32"/>
        </w:rPr>
        <w:t>九、综合防灾规划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1. </w:t>
      </w:r>
      <w:r w:rsidRPr="001C12F2">
        <w:rPr>
          <w:rFonts w:eastAsia="方正楷体简体"/>
          <w:bCs/>
          <w:sz w:val="32"/>
          <w:szCs w:val="32"/>
        </w:rPr>
        <w:t>防洪排涝规划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张家河城区段防洪标准为</w:t>
      </w:r>
      <w:r w:rsidRPr="001C12F2">
        <w:rPr>
          <w:rFonts w:eastAsia="方正仿宋简体"/>
          <w:bCs/>
          <w:sz w:val="32"/>
          <w:szCs w:val="32"/>
        </w:rPr>
        <w:t>50</w:t>
      </w:r>
      <w:r w:rsidRPr="001C12F2">
        <w:rPr>
          <w:rFonts w:eastAsia="方正仿宋简体"/>
          <w:bCs/>
          <w:sz w:val="32"/>
          <w:szCs w:val="32"/>
        </w:rPr>
        <w:t>年一遇</w:t>
      </w:r>
      <w:proofErr w:type="gramStart"/>
      <w:r w:rsidRPr="001C12F2">
        <w:rPr>
          <w:rFonts w:eastAsia="方正仿宋简体"/>
          <w:bCs/>
          <w:sz w:val="32"/>
          <w:szCs w:val="32"/>
        </w:rPr>
        <w:t>，</w:t>
      </w:r>
      <w:proofErr w:type="gramEnd"/>
      <w:r w:rsidRPr="001C12F2">
        <w:rPr>
          <w:rFonts w:eastAsia="方正仿宋简体"/>
          <w:bCs/>
          <w:sz w:val="32"/>
          <w:szCs w:val="32"/>
        </w:rPr>
        <w:t>防山洪的标准为</w:t>
      </w:r>
      <w:r w:rsidRPr="001C12F2">
        <w:rPr>
          <w:rFonts w:eastAsia="方正仿宋简体"/>
          <w:bCs/>
          <w:sz w:val="32"/>
          <w:szCs w:val="32"/>
        </w:rPr>
        <w:t>10~20</w:t>
      </w:r>
      <w:r w:rsidRPr="001C12F2">
        <w:rPr>
          <w:rFonts w:eastAsia="方正仿宋简体"/>
          <w:bCs/>
          <w:sz w:val="32"/>
          <w:szCs w:val="32"/>
        </w:rPr>
        <w:t>年一遇</w:t>
      </w:r>
      <w:proofErr w:type="gramStart"/>
      <w:r w:rsidRPr="001C12F2">
        <w:rPr>
          <w:rFonts w:eastAsia="方正仿宋简体"/>
          <w:bCs/>
          <w:sz w:val="32"/>
          <w:szCs w:val="32"/>
        </w:rPr>
        <w:t>。</w:t>
      </w:r>
      <w:proofErr w:type="gramEnd"/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2. </w:t>
      </w:r>
      <w:r w:rsidRPr="001C12F2">
        <w:rPr>
          <w:rFonts w:eastAsia="方正楷体简体"/>
          <w:bCs/>
          <w:sz w:val="32"/>
          <w:szCs w:val="32"/>
        </w:rPr>
        <w:t>消防规划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北龛片区消防主要依托规划范围外东南侧</w:t>
      </w:r>
      <w:proofErr w:type="gramStart"/>
      <w:r w:rsidRPr="001C12F2">
        <w:rPr>
          <w:rFonts w:eastAsia="方正仿宋简体"/>
          <w:bCs/>
          <w:sz w:val="32"/>
          <w:szCs w:val="32"/>
        </w:rPr>
        <w:t>檬</w:t>
      </w:r>
      <w:proofErr w:type="gramEnd"/>
      <w:r w:rsidRPr="001C12F2">
        <w:rPr>
          <w:rFonts w:eastAsia="方正仿宋简体"/>
          <w:bCs/>
          <w:sz w:val="32"/>
          <w:szCs w:val="32"/>
        </w:rPr>
        <w:t>子河片区规划消防站，规划用地面积</w:t>
      </w:r>
      <w:r w:rsidRPr="001C12F2">
        <w:rPr>
          <w:rFonts w:eastAsia="方正仿宋简体"/>
          <w:bCs/>
          <w:sz w:val="32"/>
          <w:szCs w:val="32"/>
        </w:rPr>
        <w:t>0.35</w:t>
      </w:r>
      <w:r w:rsidRPr="001C12F2">
        <w:rPr>
          <w:rFonts w:eastAsia="方正仿宋简体"/>
          <w:bCs/>
          <w:sz w:val="32"/>
          <w:szCs w:val="32"/>
        </w:rPr>
        <w:t>公顷。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3. </w:t>
      </w:r>
      <w:r w:rsidRPr="001C12F2">
        <w:rPr>
          <w:rFonts w:eastAsia="方正楷体简体"/>
          <w:bCs/>
          <w:sz w:val="32"/>
          <w:szCs w:val="32"/>
        </w:rPr>
        <w:t>防震减灾规划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规划区内抗震设防烈度为</w:t>
      </w:r>
      <w:r w:rsidRPr="001C12F2">
        <w:rPr>
          <w:rFonts w:eastAsia="方正仿宋简体"/>
          <w:bCs/>
          <w:sz w:val="32"/>
          <w:szCs w:val="32"/>
        </w:rPr>
        <w:t>6</w:t>
      </w:r>
      <w:r w:rsidRPr="001C12F2">
        <w:rPr>
          <w:rFonts w:eastAsia="方正仿宋简体"/>
          <w:bCs/>
          <w:sz w:val="32"/>
          <w:szCs w:val="32"/>
        </w:rPr>
        <w:t>度，城区城市生命线工程和重要建筑应按</w:t>
      </w:r>
      <w:r w:rsidRPr="001C12F2">
        <w:rPr>
          <w:rFonts w:eastAsia="方正仿宋简体"/>
          <w:bCs/>
          <w:sz w:val="32"/>
          <w:szCs w:val="32"/>
        </w:rPr>
        <w:t>7</w:t>
      </w:r>
      <w:r w:rsidRPr="001C12F2">
        <w:rPr>
          <w:rFonts w:eastAsia="方正仿宋简体"/>
          <w:bCs/>
          <w:sz w:val="32"/>
          <w:szCs w:val="32"/>
        </w:rPr>
        <w:t>度设防。新建工程建设项目需参照《建筑工程抗震设防分类标准》（</w:t>
      </w:r>
      <w:r w:rsidRPr="001C12F2">
        <w:rPr>
          <w:rFonts w:eastAsia="方正仿宋简体"/>
          <w:bCs/>
          <w:sz w:val="32"/>
          <w:szCs w:val="32"/>
        </w:rPr>
        <w:t>GB50223-2008)</w:t>
      </w:r>
      <w:r w:rsidRPr="001C12F2">
        <w:rPr>
          <w:rFonts w:eastAsia="方正仿宋简体"/>
          <w:bCs/>
          <w:sz w:val="32"/>
          <w:szCs w:val="32"/>
        </w:rPr>
        <w:t>对各类</w:t>
      </w:r>
      <w:proofErr w:type="gramStart"/>
      <w:r w:rsidRPr="001C12F2">
        <w:rPr>
          <w:rFonts w:eastAsia="方正仿宋简体"/>
          <w:bCs/>
          <w:sz w:val="32"/>
          <w:szCs w:val="32"/>
        </w:rPr>
        <w:t>建筑做</w:t>
      </w:r>
      <w:proofErr w:type="gramEnd"/>
      <w:r w:rsidRPr="001C12F2">
        <w:rPr>
          <w:rFonts w:eastAsia="方正仿宋简体"/>
          <w:bCs/>
          <w:sz w:val="32"/>
          <w:szCs w:val="32"/>
        </w:rPr>
        <w:t>设防类别划分，并执行《建筑抗震设计规范》（</w:t>
      </w:r>
      <w:r w:rsidRPr="001C12F2">
        <w:rPr>
          <w:rFonts w:eastAsia="方正仿宋简体"/>
          <w:bCs/>
          <w:sz w:val="32"/>
          <w:szCs w:val="32"/>
        </w:rPr>
        <w:t>GB50011-2010)</w:t>
      </w:r>
      <w:r w:rsidRPr="001C12F2">
        <w:rPr>
          <w:rFonts w:eastAsia="方正仿宋简体"/>
          <w:bCs/>
          <w:sz w:val="32"/>
          <w:szCs w:val="32"/>
        </w:rPr>
        <w:t>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规划利用建设用地内的公共绿地、广场、体育场、学校操场等开阔空间作为避震疏散场所。疏散半径应小于</w:t>
      </w:r>
      <w:r w:rsidRPr="001C12F2">
        <w:rPr>
          <w:rFonts w:eastAsia="方正仿宋简体"/>
          <w:bCs/>
          <w:sz w:val="32"/>
          <w:szCs w:val="32"/>
        </w:rPr>
        <w:t>1km</w:t>
      </w:r>
      <w:r w:rsidRPr="001C12F2">
        <w:rPr>
          <w:rFonts w:eastAsia="方正仿宋简体"/>
          <w:bCs/>
          <w:sz w:val="32"/>
          <w:szCs w:val="32"/>
        </w:rPr>
        <w:t>，人均避震面积达到</w:t>
      </w:r>
      <w:r w:rsidRPr="001C12F2">
        <w:rPr>
          <w:rFonts w:eastAsia="方正仿宋简体"/>
          <w:bCs/>
          <w:sz w:val="32"/>
          <w:szCs w:val="32"/>
        </w:rPr>
        <w:t>8</w:t>
      </w:r>
      <w:r w:rsidRPr="001C12F2">
        <w:rPr>
          <w:rFonts w:eastAsia="方正仿宋简体"/>
          <w:bCs/>
          <w:sz w:val="32"/>
          <w:szCs w:val="32"/>
        </w:rPr>
        <w:t>平方米。北龛片区共设置</w:t>
      </w:r>
      <w:r w:rsidRPr="001C12F2">
        <w:rPr>
          <w:rFonts w:eastAsia="方正仿宋简体"/>
          <w:bCs/>
          <w:sz w:val="32"/>
          <w:szCs w:val="32"/>
        </w:rPr>
        <w:t>6</w:t>
      </w:r>
      <w:r w:rsidRPr="001C12F2">
        <w:rPr>
          <w:rFonts w:eastAsia="方正仿宋简体"/>
          <w:bCs/>
          <w:sz w:val="32"/>
          <w:szCs w:val="32"/>
        </w:rPr>
        <w:t>处固定避震疏散场地，</w:t>
      </w:r>
      <w:r w:rsidRPr="001C12F2">
        <w:rPr>
          <w:rFonts w:eastAsia="方正仿宋简体"/>
          <w:bCs/>
          <w:sz w:val="32"/>
          <w:szCs w:val="32"/>
        </w:rPr>
        <w:t>5</w:t>
      </w:r>
      <w:r w:rsidRPr="001C12F2">
        <w:rPr>
          <w:rFonts w:eastAsia="方正仿宋简体"/>
          <w:bCs/>
          <w:sz w:val="32"/>
          <w:szCs w:val="32"/>
        </w:rPr>
        <w:lastRenderedPageBreak/>
        <w:t>处紧急避震疏散场地。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楷体简体"/>
          <w:bCs/>
          <w:sz w:val="32"/>
          <w:szCs w:val="32"/>
        </w:rPr>
      </w:pPr>
      <w:r w:rsidRPr="001C12F2">
        <w:rPr>
          <w:rFonts w:eastAsia="方正楷体简体"/>
          <w:bCs/>
          <w:sz w:val="32"/>
          <w:szCs w:val="32"/>
        </w:rPr>
        <w:t xml:space="preserve"> 4. </w:t>
      </w:r>
      <w:r w:rsidRPr="001C12F2">
        <w:rPr>
          <w:rFonts w:eastAsia="方正楷体简体"/>
          <w:bCs/>
          <w:sz w:val="32"/>
          <w:szCs w:val="32"/>
        </w:rPr>
        <w:t>人防规划</w:t>
      </w:r>
    </w:p>
    <w:p w:rsidR="00D22D5D" w:rsidRPr="001C12F2" w:rsidRDefault="00D22D5D" w:rsidP="00D22D5D">
      <w:pPr>
        <w:spacing w:line="560" w:lineRule="exact"/>
        <w:ind w:firstLineChars="200" w:firstLine="640"/>
        <w:rPr>
          <w:rFonts w:eastAsia="方正仿宋简体"/>
          <w:bCs/>
          <w:sz w:val="32"/>
          <w:szCs w:val="32"/>
        </w:rPr>
      </w:pPr>
      <w:r w:rsidRPr="001C12F2">
        <w:rPr>
          <w:rFonts w:eastAsia="方正仿宋简体"/>
          <w:bCs/>
          <w:sz w:val="32"/>
          <w:szCs w:val="32"/>
        </w:rPr>
        <w:t>规划规划掩蔽工程面积应达到</w:t>
      </w:r>
      <w:r w:rsidRPr="001C12F2">
        <w:rPr>
          <w:rFonts w:eastAsia="方正仿宋简体"/>
          <w:bCs/>
          <w:sz w:val="32"/>
          <w:szCs w:val="32"/>
        </w:rPr>
        <w:t>1.2</w:t>
      </w:r>
      <w:r w:rsidRPr="001C12F2">
        <w:rPr>
          <w:rFonts w:eastAsia="方正仿宋简体"/>
          <w:bCs/>
          <w:sz w:val="32"/>
          <w:szCs w:val="32"/>
        </w:rPr>
        <w:t>万平方米，规划结合新建住宅、公建、公园、学校等地下设置。</w:t>
      </w:r>
    </w:p>
    <w:p w:rsidR="0095199F" w:rsidRPr="00D22D5D" w:rsidRDefault="0095199F"/>
    <w:sectPr w:rsidR="0095199F" w:rsidRPr="00D22D5D" w:rsidSect="004A4448">
      <w:footerReference w:type="even" r:id="rId11"/>
      <w:footerReference w:type="default" r:id="rId12"/>
      <w:pgSz w:w="11906" w:h="16838" w:code="9"/>
      <w:pgMar w:top="2098" w:right="1531" w:bottom="1701" w:left="1531" w:header="851" w:footer="1418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90D" w:rsidRDefault="007E590D" w:rsidP="00D22D5D">
      <w:r>
        <w:separator/>
      </w:r>
    </w:p>
  </w:endnote>
  <w:endnote w:type="continuationSeparator" w:id="0">
    <w:p w:rsidR="007E590D" w:rsidRDefault="007E590D" w:rsidP="00D22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楷体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2A0" w:rsidRDefault="007E590D" w:rsidP="00A602A0">
    <w:pPr>
      <w:pStyle w:val="a4"/>
      <w:ind w:firstLineChars="100" w:firstLine="280"/>
    </w:pPr>
    <w:r w:rsidRPr="00711DE8">
      <w:rPr>
        <w:rFonts w:ascii="宋体" w:hAnsi="宋体"/>
        <w:sz w:val="28"/>
        <w:szCs w:val="28"/>
      </w:rPr>
      <w:t xml:space="preserve">— </w:t>
    </w:r>
    <w:r w:rsidRPr="00711DE8">
      <w:rPr>
        <w:rFonts w:ascii="宋体" w:hAnsi="宋体"/>
        <w:sz w:val="28"/>
        <w:szCs w:val="28"/>
      </w:rPr>
      <w:fldChar w:fldCharType="begin"/>
    </w:r>
    <w:r w:rsidRPr="00711DE8">
      <w:rPr>
        <w:rFonts w:ascii="宋体" w:hAnsi="宋体"/>
        <w:sz w:val="28"/>
        <w:szCs w:val="28"/>
      </w:rPr>
      <w:instrText xml:space="preserve"> PAGE   \* MERGEFORMAT </w:instrText>
    </w:r>
    <w:r w:rsidRPr="00711DE8">
      <w:rPr>
        <w:rFonts w:ascii="宋体" w:hAnsi="宋体"/>
        <w:sz w:val="28"/>
        <w:szCs w:val="28"/>
      </w:rPr>
      <w:fldChar w:fldCharType="separate"/>
    </w:r>
    <w:r w:rsidRPr="00DE5E0C">
      <w:rPr>
        <w:rFonts w:ascii="宋体" w:hAnsi="宋体"/>
        <w:noProof/>
        <w:sz w:val="28"/>
        <w:szCs w:val="28"/>
        <w:lang w:val="zh-CN"/>
      </w:rPr>
      <w:t>12</w:t>
    </w:r>
    <w:r w:rsidRPr="00711DE8">
      <w:rPr>
        <w:rFonts w:ascii="宋体" w:hAnsi="宋体"/>
        <w:sz w:val="28"/>
        <w:szCs w:val="28"/>
      </w:rPr>
      <w:fldChar w:fldCharType="end"/>
    </w:r>
    <w:r w:rsidRPr="00711DE8">
      <w:rPr>
        <w:rFonts w:ascii="宋体" w:hAnsi="宋体"/>
        <w:sz w:val="28"/>
        <w:szCs w:val="28"/>
      </w:rPr>
      <w:t xml:space="preserve"> —</w:t>
    </w:r>
    <w:r w:rsidRPr="00711DE8">
      <w:rPr>
        <w:rFonts w:ascii="宋体" w:hAnsi="宋体" w:hint="eastAsia"/>
        <w:sz w:val="28"/>
        <w:szCs w:val="28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2A0" w:rsidRDefault="007E590D" w:rsidP="00A602A0">
    <w:pPr>
      <w:pStyle w:val="a4"/>
      <w:wordWrap w:val="0"/>
      <w:ind w:firstLineChars="100" w:firstLine="280"/>
      <w:jc w:val="right"/>
    </w:pPr>
    <w:r w:rsidRPr="00711DE8">
      <w:rPr>
        <w:rFonts w:ascii="宋体" w:hAnsi="宋体"/>
        <w:sz w:val="28"/>
        <w:szCs w:val="28"/>
      </w:rPr>
      <w:t xml:space="preserve">— </w:t>
    </w:r>
    <w:r w:rsidRPr="00711DE8">
      <w:rPr>
        <w:rFonts w:ascii="宋体" w:hAnsi="宋体"/>
        <w:sz w:val="28"/>
        <w:szCs w:val="28"/>
      </w:rPr>
      <w:fldChar w:fldCharType="begin"/>
    </w:r>
    <w:r w:rsidRPr="00711DE8">
      <w:rPr>
        <w:rFonts w:ascii="宋体" w:hAnsi="宋体"/>
        <w:sz w:val="28"/>
        <w:szCs w:val="28"/>
      </w:rPr>
      <w:instrText xml:space="preserve"> PAGE   \* MERGEFORMAT </w:instrText>
    </w:r>
    <w:r w:rsidRPr="00711DE8">
      <w:rPr>
        <w:rFonts w:ascii="宋体" w:hAnsi="宋体"/>
        <w:sz w:val="28"/>
        <w:szCs w:val="28"/>
      </w:rPr>
      <w:fldChar w:fldCharType="separate"/>
    </w:r>
    <w:r w:rsidR="00D22D5D" w:rsidRPr="00D22D5D">
      <w:rPr>
        <w:rFonts w:ascii="宋体" w:hAnsi="宋体"/>
        <w:noProof/>
        <w:sz w:val="28"/>
        <w:szCs w:val="28"/>
        <w:lang w:val="zh-CN"/>
      </w:rPr>
      <w:t>2</w:t>
    </w:r>
    <w:r w:rsidRPr="00711DE8">
      <w:rPr>
        <w:rFonts w:ascii="宋体" w:hAnsi="宋体"/>
        <w:sz w:val="28"/>
        <w:szCs w:val="28"/>
      </w:rPr>
      <w:fldChar w:fldCharType="end"/>
    </w:r>
    <w:r w:rsidRPr="00711DE8">
      <w:rPr>
        <w:rFonts w:ascii="宋体" w:hAnsi="宋体"/>
        <w:sz w:val="28"/>
        <w:szCs w:val="28"/>
      </w:rPr>
      <w:t xml:space="preserve"> —</w:t>
    </w:r>
    <w:r w:rsidRPr="00711DE8">
      <w:rPr>
        <w:rFonts w:ascii="宋体" w:hAnsi="宋体" w:hint="eastAsia"/>
        <w:sz w:val="28"/>
        <w:szCs w:val="28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90D" w:rsidRDefault="007E590D" w:rsidP="00D22D5D">
      <w:r>
        <w:separator/>
      </w:r>
    </w:p>
  </w:footnote>
  <w:footnote w:type="continuationSeparator" w:id="0">
    <w:p w:rsidR="007E590D" w:rsidRDefault="007E590D" w:rsidP="00D22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9660EB"/>
    <w:multiLevelType w:val="singleLevel"/>
    <w:tmpl w:val="909660EB"/>
    <w:lvl w:ilvl="0">
      <w:start w:val="2"/>
      <w:numFmt w:val="decimal"/>
      <w:suff w:val="space"/>
      <w:lvlText w:val="%1."/>
      <w:lvlJc w:val="left"/>
    </w:lvl>
  </w:abstractNum>
  <w:abstractNum w:abstractNumId="1">
    <w:nsid w:val="A33C0A4F"/>
    <w:multiLevelType w:val="singleLevel"/>
    <w:tmpl w:val="A33C0A4F"/>
    <w:lvl w:ilvl="0">
      <w:start w:val="3"/>
      <w:numFmt w:val="decimal"/>
      <w:suff w:val="space"/>
      <w:lvlText w:val="%1."/>
      <w:lvlJc w:val="left"/>
    </w:lvl>
  </w:abstractNum>
  <w:abstractNum w:abstractNumId="2">
    <w:nsid w:val="072556A1"/>
    <w:multiLevelType w:val="singleLevel"/>
    <w:tmpl w:val="072556A1"/>
    <w:lvl w:ilvl="0">
      <w:start w:val="1"/>
      <w:numFmt w:val="decimal"/>
      <w:suff w:val="nothing"/>
      <w:lvlText w:val="（%1）"/>
      <w:lvlJc w:val="left"/>
    </w:lvl>
  </w:abstractNum>
  <w:abstractNum w:abstractNumId="3">
    <w:nsid w:val="08DE5669"/>
    <w:multiLevelType w:val="singleLevel"/>
    <w:tmpl w:val="08DE5669"/>
    <w:lvl w:ilvl="0">
      <w:start w:val="1"/>
      <w:numFmt w:val="decimal"/>
      <w:suff w:val="nothing"/>
      <w:lvlText w:val="（%1）"/>
      <w:lvlJc w:val="left"/>
    </w:lvl>
  </w:abstractNum>
  <w:abstractNum w:abstractNumId="4">
    <w:nsid w:val="23DF00C9"/>
    <w:multiLevelType w:val="singleLevel"/>
    <w:tmpl w:val="23DF00C9"/>
    <w:lvl w:ilvl="0">
      <w:start w:val="1"/>
      <w:numFmt w:val="decimal"/>
      <w:suff w:val="nothing"/>
      <w:lvlText w:val="（%1）"/>
      <w:lvlJc w:val="left"/>
    </w:lvl>
  </w:abstractNum>
  <w:abstractNum w:abstractNumId="5">
    <w:nsid w:val="35B52D15"/>
    <w:multiLevelType w:val="singleLevel"/>
    <w:tmpl w:val="35B52D15"/>
    <w:lvl w:ilvl="0">
      <w:start w:val="1"/>
      <w:numFmt w:val="decimal"/>
      <w:suff w:val="nothing"/>
      <w:lvlText w:val="（%1）"/>
      <w:lvlJc w:val="left"/>
    </w:lvl>
  </w:abstractNum>
  <w:abstractNum w:abstractNumId="6">
    <w:nsid w:val="47BBE3D0"/>
    <w:multiLevelType w:val="singleLevel"/>
    <w:tmpl w:val="47BBE3D0"/>
    <w:lvl w:ilvl="0">
      <w:start w:val="1"/>
      <w:numFmt w:val="decimal"/>
      <w:suff w:val="nothing"/>
      <w:lvlText w:val="（%1）"/>
      <w:lvlJc w:val="left"/>
    </w:lvl>
  </w:abstractNum>
  <w:abstractNum w:abstractNumId="7">
    <w:nsid w:val="667B2745"/>
    <w:multiLevelType w:val="singleLevel"/>
    <w:tmpl w:val="667B2745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6839A493"/>
    <w:multiLevelType w:val="singleLevel"/>
    <w:tmpl w:val="6839A493"/>
    <w:lvl w:ilvl="0">
      <w:start w:val="1"/>
      <w:numFmt w:val="decimal"/>
      <w:suff w:val="space"/>
      <w:lvlText w:val="%1."/>
      <w:lvlJc w:val="left"/>
    </w:lvl>
  </w:abstractNum>
  <w:abstractNum w:abstractNumId="9">
    <w:nsid w:val="7722A848"/>
    <w:multiLevelType w:val="singleLevel"/>
    <w:tmpl w:val="7722A84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1E4"/>
    <w:rsid w:val="007E590D"/>
    <w:rsid w:val="0095199F"/>
    <w:rsid w:val="00C471E4"/>
    <w:rsid w:val="00D22D5D"/>
    <w:rsid w:val="00ED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D5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2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2D5D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2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2D5D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2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2D5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D5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2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2D5D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2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2D5D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2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2D5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491</Words>
  <Characters>2803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办公室:李兵</dc:creator>
  <cp:keywords/>
  <dc:description/>
  <cp:lastModifiedBy>办公室:李兵</cp:lastModifiedBy>
  <cp:revision>2</cp:revision>
  <dcterms:created xsi:type="dcterms:W3CDTF">2020-11-17T09:23:00Z</dcterms:created>
  <dcterms:modified xsi:type="dcterms:W3CDTF">2020-11-17T09:24:00Z</dcterms:modified>
</cp:coreProperties>
</file>